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D450">
      <w:pPr>
        <w:adjustRightInd w:val="0"/>
        <w:snapToGrid w:val="0"/>
        <w:spacing w:line="560" w:lineRule="exact"/>
        <w:ind w:right="-333" w:rightChars="-104" w:firstLine="880" w:firstLineChars="200"/>
        <w:rPr>
          <w:rFonts w:hint="eastAsia" w:ascii="黑体" w:hAnsi="宋体" w:eastAsia="黑体"/>
          <w:bCs/>
          <w:szCs w:val="32"/>
        </w:rPr>
      </w:pPr>
      <w:r>
        <w:rPr>
          <w:rFonts w:hint="eastAsia" w:ascii="黑体" w:hAnsi="宋体" w:eastAsia="黑体"/>
          <w:bCs/>
          <w:sz w:val="44"/>
          <w:szCs w:val="44"/>
          <w:highlight w:val="none"/>
          <w:lang w:val="en-US" w:eastAsia="zh-CN"/>
        </w:rPr>
        <w:t>柳州市柳江区市场监管综合行政执法大队2025</w:t>
      </w:r>
      <w:r>
        <w:rPr>
          <w:rFonts w:hint="eastAsia" w:ascii="黑体" w:hAnsi="宋体" w:eastAsia="黑体"/>
          <w:bCs/>
          <w:sz w:val="44"/>
          <w:szCs w:val="44"/>
          <w:highlight w:val="none"/>
          <w:lang w:eastAsia="zh-CN"/>
        </w:rPr>
        <w:t>年单位</w:t>
      </w:r>
      <w:r>
        <w:rPr>
          <w:rFonts w:hint="eastAsia" w:ascii="黑体" w:hAnsi="宋体" w:eastAsia="黑体"/>
          <w:bCs/>
          <w:sz w:val="44"/>
          <w:szCs w:val="44"/>
          <w:highlight w:val="none"/>
        </w:rPr>
        <w:t>预算及“三公”经费预算公开说明</w:t>
      </w:r>
    </w:p>
    <w:p w14:paraId="7CC75134">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w:t>
      </w:r>
      <w:r>
        <w:rPr>
          <w:rFonts w:hint="eastAsia" w:ascii="黑体" w:hAnsi="宋体" w:eastAsia="黑体"/>
          <w:bCs/>
          <w:szCs w:val="32"/>
          <w:lang w:eastAsia="zh-CN"/>
        </w:rPr>
        <w:t>单位</w:t>
      </w:r>
      <w:r>
        <w:rPr>
          <w:rFonts w:hint="eastAsia" w:ascii="黑体" w:hAnsi="宋体" w:eastAsia="黑体"/>
          <w:bCs/>
          <w:szCs w:val="32"/>
        </w:rPr>
        <w:t>概况</w:t>
      </w:r>
    </w:p>
    <w:p w14:paraId="58E52589">
      <w:pPr>
        <w:spacing w:line="4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一、</w:t>
      </w:r>
      <w:r>
        <w:rPr>
          <w:rFonts w:hint="eastAsia" w:ascii="宋体" w:hAnsi="宋体" w:eastAsia="宋体" w:cs="宋体"/>
          <w:sz w:val="32"/>
          <w:szCs w:val="32"/>
          <w:highlight w:val="none"/>
          <w:lang w:eastAsia="zh-CN"/>
        </w:rPr>
        <w:t>主要</w:t>
      </w:r>
      <w:r>
        <w:rPr>
          <w:rFonts w:hint="eastAsia" w:ascii="宋体" w:hAnsi="宋体" w:eastAsia="宋体" w:cs="宋体"/>
          <w:sz w:val="32"/>
          <w:szCs w:val="32"/>
          <w:highlight w:val="none"/>
        </w:rPr>
        <w:t>职责</w:t>
      </w:r>
    </w:p>
    <w:p w14:paraId="539B180F">
      <w:pPr>
        <w:spacing w:line="460" w:lineRule="exact"/>
        <w:ind w:firstLine="640" w:firstLineChars="200"/>
        <w:rPr>
          <w:rFonts w:hint="eastAsia" w:ascii="黑体" w:hAnsi="宋体" w:eastAsia="黑体"/>
          <w:bCs/>
          <w:szCs w:val="32"/>
        </w:rPr>
      </w:pPr>
      <w:r>
        <w:rPr>
          <w:rFonts w:hint="eastAsia" w:ascii="宋体" w:hAnsi="宋体" w:eastAsia="宋体" w:cs="宋体"/>
          <w:sz w:val="32"/>
          <w:szCs w:val="32"/>
          <w:highlight w:val="none"/>
        </w:rPr>
        <w:t>二、机构设置</w:t>
      </w:r>
    </w:p>
    <w:p w14:paraId="20742117">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hAnsi="宋体" w:eastAsia="黑体"/>
          <w:bCs/>
          <w:sz w:val="32"/>
          <w:szCs w:val="32"/>
          <w:highlight w:val="none"/>
          <w:lang w:val="en-US" w:eastAsia="zh-CN"/>
        </w:rPr>
        <w:t>柳州市柳江区市场监管综合行政执法大队</w:t>
      </w:r>
      <w:r>
        <w:rPr>
          <w:rFonts w:hint="eastAsia" w:ascii="黑体" w:hAnsi="宋体" w:eastAsia="黑体"/>
          <w:szCs w:val="32"/>
          <w:lang w:eastAsia="zh-CN"/>
        </w:rPr>
        <w:t>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预算情况说明</w:t>
      </w:r>
    </w:p>
    <w:p w14:paraId="152F2A83">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rPr>
        <w:t>一、单位预算收支增减变化情况说明</w:t>
      </w:r>
    </w:p>
    <w:p w14:paraId="4AD94B02">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lang w:eastAsia="zh-CN"/>
        </w:rPr>
        <w:t>二、单位预算收入总体情况说明</w:t>
      </w:r>
    </w:p>
    <w:p w14:paraId="39020EBB">
      <w:pPr>
        <w:spacing w:line="460" w:lineRule="exact"/>
        <w:ind w:firstLine="640" w:firstLineChars="200"/>
        <w:rPr>
          <w:rFonts w:hint="eastAsia" w:ascii="宋体" w:hAnsi="宋体" w:eastAsia="宋体" w:cs="宋体"/>
          <w:szCs w:val="32"/>
        </w:rPr>
      </w:pPr>
      <w:r>
        <w:rPr>
          <w:rFonts w:hint="eastAsia" w:ascii="宋体" w:hAnsi="宋体" w:eastAsia="宋体" w:cs="宋体"/>
          <w:sz w:val="32"/>
          <w:szCs w:val="32"/>
          <w:highlight w:val="none"/>
          <w:lang w:eastAsia="zh-CN"/>
        </w:rPr>
        <w:t>三、单位预算支出总体情况说明</w:t>
      </w:r>
    </w:p>
    <w:p w14:paraId="17A41D64">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、政府性基金预算支出情况说明</w:t>
      </w:r>
    </w:p>
    <w:p w14:paraId="01298E94">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五、国有资本经营预算支出情况说明</w:t>
      </w:r>
    </w:p>
    <w:p w14:paraId="2B4EB8FA">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六、一般公共预算“三公”经费支出情况说明</w:t>
      </w:r>
    </w:p>
    <w:p w14:paraId="05DCA601">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七、机关运行经费安排情况说明</w:t>
      </w:r>
    </w:p>
    <w:p w14:paraId="316D5A5D">
      <w:pPr>
        <w:tabs>
          <w:tab w:val="center" w:pos="4475"/>
        </w:tabs>
        <w:spacing w:line="560" w:lineRule="exact"/>
        <w:ind w:firstLine="645"/>
        <w:rPr>
          <w:rFonts w:hint="eastAsia" w:ascii="宋体" w:hAnsi="宋体" w:eastAsia="宋体" w:cs="宋体"/>
          <w:szCs w:val="32"/>
          <w:lang w:eastAsia="zh-CN"/>
        </w:rPr>
      </w:pPr>
      <w:r>
        <w:rPr>
          <w:rFonts w:hint="eastAsia" w:ascii="宋体" w:hAnsi="宋体" w:eastAsia="宋体" w:cs="宋体"/>
          <w:szCs w:val="32"/>
          <w:lang w:eastAsia="zh-CN"/>
        </w:rPr>
        <w:t>八、政府采购预算安排情况说明</w:t>
      </w:r>
    </w:p>
    <w:p w14:paraId="13885121">
      <w:pPr>
        <w:tabs>
          <w:tab w:val="center" w:pos="4475"/>
        </w:tabs>
        <w:spacing w:line="560" w:lineRule="exact"/>
        <w:ind w:firstLine="645"/>
        <w:rPr>
          <w:rFonts w:hint="eastAsia" w:ascii="宋体" w:hAnsi="宋体" w:eastAsia="宋体" w:cs="宋体"/>
          <w:szCs w:val="32"/>
          <w:highlight w:val="yellow"/>
          <w:lang w:eastAsia="zh-CN"/>
        </w:rPr>
      </w:pPr>
      <w:r>
        <w:rPr>
          <w:rFonts w:hint="eastAsia" w:ascii="宋体" w:hAnsi="宋体" w:eastAsia="宋体" w:cs="宋体"/>
          <w:szCs w:val="32"/>
          <w:lang w:eastAsia="zh-CN"/>
        </w:rPr>
        <w:t>九、国有资产占用情况说明</w:t>
      </w:r>
    </w:p>
    <w:p w14:paraId="530CF99C">
      <w:pPr>
        <w:keepNext w:val="0"/>
        <w:keepLines w:val="0"/>
        <w:pageBreakBefore w:val="0"/>
        <w:widowControl w:val="0"/>
        <w:tabs>
          <w:tab w:val="center" w:pos="4475"/>
        </w:tabs>
        <w:kinsoku/>
        <w:wordWrap/>
        <w:overflowPunct/>
        <w:topLinePunct w:val="0"/>
        <w:autoSpaceDE/>
        <w:autoSpaceDN/>
        <w:bidi w:val="0"/>
        <w:adjustRightInd/>
        <w:snapToGrid/>
        <w:spacing w:line="480" w:lineRule="exact"/>
        <w:ind w:firstLine="646"/>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、预算绩效目标情况说明</w:t>
      </w:r>
    </w:p>
    <w:p w14:paraId="247B2B38">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4F3D161D">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bCs/>
          <w:sz w:val="32"/>
          <w:szCs w:val="32"/>
          <w:highlight w:val="none"/>
          <w:lang w:val="en-US" w:eastAsia="zh-CN"/>
        </w:rPr>
        <w:t>柳州市柳江区市场监管综合行政执法大队</w:t>
      </w:r>
      <w:r>
        <w:rPr>
          <w:rFonts w:hint="eastAsia" w:ascii="黑体" w:hAnsi="宋体" w:eastAsia="黑体"/>
          <w:szCs w:val="32"/>
          <w:lang w:eastAsia="zh-CN"/>
        </w:rPr>
        <w:t>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预算报表</w:t>
      </w:r>
    </w:p>
    <w:p w14:paraId="06D8018C">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57ADE865">
      <w:pPr>
        <w:adjustRightInd w:val="0"/>
        <w:snapToGrid w:val="0"/>
        <w:spacing w:line="56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、单位主要职能</w:t>
      </w:r>
    </w:p>
    <w:p w14:paraId="1DC9A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贯彻执行市场监管综合行政执法方面的法律、法规规章和政策。负责市场监督管理综合行政执法队伍建设，承担区市场监管综合行政执法业务指导、组织协调工作。</w:t>
      </w:r>
    </w:p>
    <w:p w14:paraId="70D99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（二）承担柳江区市场监管综合行政执法工作，负责查处侵犯知识产权、制售假冒伪劣商品的违法案件。</w:t>
      </w:r>
    </w:p>
    <w:p w14:paraId="7CE75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（三）负责反走私打击工作，负责查处影响较大和跨区域的大案要案。查处上级主管部门交办的重大违法案件，负责跨部门联合执法。</w:t>
      </w:r>
    </w:p>
    <w:p w14:paraId="45216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（四）负责查处违反市场主体登记相关法律法规的行为；负责查处无照经营以及与市场监督管理部门职能相关的无证生产经营等方面违法案件。</w:t>
      </w:r>
    </w:p>
    <w:p w14:paraId="011D1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（五）负责查处食品(含特殊食品)、盐业领域的违法案件。</w:t>
      </w:r>
    </w:p>
    <w:p w14:paraId="52E9F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（六）负责查处药品、医疗器械、化妆品领域的违法案件。</w:t>
      </w:r>
    </w:p>
    <w:p w14:paraId="2A64C4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（七）负责查处产品质量、生产许可、计量、标准化、认证认可、特种设备的违法案件。</w:t>
      </w:r>
    </w:p>
    <w:p w14:paraId="1D456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（八）负责查处价格垄断、价格欺诈、价格歧视、低价倾销、哄抬物价、重复收费、自立项目收费、超标准收费等不正当价格行为的违法案件。</w:t>
      </w:r>
    </w:p>
    <w:p w14:paraId="19E07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（九）负责查处不正当竞争、侵害消费者权益、直销、传销、违法广告等破坏市场经济秩序的违法案件。</w:t>
      </w:r>
    </w:p>
    <w:p w14:paraId="374A4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负责查处酒类流通、商业特许经营、成品油市场、零售商促销、零售供应商公平交易、单用途商业预付卡、拍卖、典当、报废汽车回收、二手车流通、洗染业、美容美发业、家电维修服务业、旧电器电子产品收购、家庭服务机构、再生资源回收和对外劳务合作经营资格等方面的违法行为。</w:t>
      </w:r>
    </w:p>
    <w:p w14:paraId="33427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（十一）负责行政处罚案件数据统计、分析与管理工作。</w:t>
      </w:r>
    </w:p>
    <w:p w14:paraId="4B15F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（十二）承担市场监管专项治理和社会综合治理等相关工作。</w:t>
      </w:r>
    </w:p>
    <w:p w14:paraId="6489F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（十三）参与区市场监督管理局根据上级要求开展的专项整治行政执法工作；承办举报处置工作。</w:t>
      </w:r>
    </w:p>
    <w:p w14:paraId="6ABE8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（十四）负责推行行政执法公示、执法全过程记录制度，完善执法程序，规范办案行为，提高办案效率，按规定统一执法程序、文书、服装、标志和执法办案信息管理系统。</w:t>
      </w:r>
    </w:p>
    <w:p w14:paraId="6703D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（十五）完成区委、区人民政府及主管部门交办的其他任务。</w:t>
      </w:r>
    </w:p>
    <w:p w14:paraId="44807F8E">
      <w:pPr>
        <w:spacing w:line="560" w:lineRule="exact"/>
        <w:ind w:firstLine="640" w:firstLineChars="200"/>
        <w:rPr>
          <w:rFonts w:hint="eastAsia" w:ascii="黑体" w:hAnsi="宋体" w:eastAsia="黑体"/>
          <w:szCs w:val="32"/>
        </w:rPr>
      </w:pPr>
      <w:r>
        <w:rPr>
          <w:rFonts w:hint="eastAsia" w:ascii="黑体" w:hAnsi="宋体" w:eastAsia="黑体"/>
          <w:szCs w:val="32"/>
        </w:rPr>
        <w:t>二、机构设置情况</w:t>
      </w:r>
    </w:p>
    <w:p w14:paraId="6A327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 xml:space="preserve"> </w:t>
      </w:r>
      <w:r>
        <w:rPr>
          <w:rFonts w:hint="eastAsia" w:cs="Times New Roman"/>
          <w:sz w:val="32"/>
          <w:szCs w:val="32"/>
          <w:lang w:eastAsia="zh-CN"/>
        </w:rPr>
        <w:t>柳州市柳江</w:t>
      </w:r>
      <w:r>
        <w:rPr>
          <w:rFonts w:hint="default" w:ascii="Times New Roman" w:hAnsi="Times New Roman" w:eastAsia="仿宋_GB2312" w:cs="Times New Roman"/>
          <w:color w:val="000000" w:themeColor="text1"/>
          <w:sz w:val="32"/>
          <w:szCs w:val="32"/>
          <w14:textFill>
            <w14:solidFill>
              <w14:schemeClr w14:val="tx1"/>
            </w14:solidFill>
          </w14:textFill>
        </w:rPr>
        <w:t>区市场监管综合行政执法大队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事业</w:t>
      </w:r>
      <w:r>
        <w:rPr>
          <w:rFonts w:hint="default" w:ascii="Times New Roman" w:hAnsi="Times New Roman" w:eastAsia="仿宋_GB2312" w:cs="Times New Roman"/>
          <w:color w:val="000000" w:themeColor="text1"/>
          <w:sz w:val="32"/>
          <w:szCs w:val="32"/>
          <w14:textFill>
            <w14:solidFill>
              <w14:schemeClr w14:val="tx1"/>
            </w14:solidFill>
          </w14:textFill>
        </w:rPr>
        <w:t>编制66名，设大队长1名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（正科长级）</w:t>
      </w:r>
      <w:r>
        <w:rPr>
          <w:rFonts w:hint="default" w:ascii="Times New Roman" w:hAnsi="Times New Roman" w:eastAsia="仿宋_GB2312" w:cs="Times New Roman"/>
          <w:color w:val="000000" w:themeColor="text1"/>
          <w:sz w:val="32"/>
          <w:szCs w:val="32"/>
          <w14:textFill>
            <w14:solidFill>
              <w14:schemeClr w14:val="tx1"/>
            </w14:solidFill>
          </w14:textFill>
        </w:rPr>
        <w:t>，副大队长3名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（副科长级）</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7DB54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区市场监管综合行政执法大队设下列内设机构：</w:t>
      </w:r>
    </w:p>
    <w:p w14:paraId="316F4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内勤中队。负责协调和督办大队日常工作，负责制订大队内部管理的有关制度和工作计划，承担文秘、会务、信息、档案、机要、保密等工作，负责市场监管综合行政执法队伍建设和作风建设，负责组织开展相关法律法规的宣传工作，负责编报大队的预决算，票据管理和日常财务工作。</w:t>
      </w:r>
    </w:p>
    <w:p w14:paraId="3EEAB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综合执法中队。负责市场监管综合行政执法信息化建设工作，负责案件线索登记、流转、以及协调线索管理有关问题，统筹案源管理，跟踪、汇报、上报、督查案件进展情况，负责组织、指导、协调市场监管领域的案件的查办，承担综合行政执法案件的统计分析工作，负责执法装备和罚没物品的管理工作，组织开展市场监管综合行政执法队伍的教育培训;负责行政处罚案件的审核；负责市场监管系统案件信息管理系统的管理工作；组织行政处罚听证工作，负责行政复议、行政应诉和行政赔偿工作，组织落实行政处罚案卷评查等工作。</w:t>
      </w:r>
    </w:p>
    <w:p w14:paraId="4B986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综合行政执法大队设下列派出机构：区市场监管综合行政执法大队设立11个派出机构，分别为拉堡中队、新城中队、柳堡中队、穿山中队、进德中队、成团中队、三都中队、里高中队、土博中队、百朋中队、新兴中队，11个基层市场监督管理所加挂“柳州市柳江区市场监管综合行政执法大队XX中队”牌子，不定机构级别，设中队长1名，由各基层市场监督管理所所长兼任，负责辖区宣传、贯彻、实施市场监管相关法律、法规、规章；依法依规开展市场监管领域相关日常监督管理、检查、专项整治等任务；依法开展行政执法工作，行使行政处罚权。</w:t>
      </w:r>
    </w:p>
    <w:p w14:paraId="3B9BB9E6">
      <w:pPr>
        <w:tabs>
          <w:tab w:val="center" w:pos="4475"/>
        </w:tabs>
        <w:spacing w:line="560" w:lineRule="exact"/>
        <w:rPr>
          <w:rFonts w:hint="eastAsia" w:ascii="黑体" w:eastAsia="黑体"/>
          <w:szCs w:val="32"/>
        </w:rPr>
      </w:pPr>
    </w:p>
    <w:p w14:paraId="708EEA62">
      <w:pPr>
        <w:tabs>
          <w:tab w:val="center" w:pos="4475"/>
        </w:tabs>
        <w:spacing w:line="560" w:lineRule="exact"/>
        <w:ind w:firstLine="645"/>
        <w:rPr>
          <w:rFonts w:hint="eastAsia" w:ascii="仿宋_GB2312" w:hAnsi="仿宋_GB2312" w:eastAsia="仿宋_GB2312" w:cs="仿宋_GB2312"/>
          <w:szCs w:val="32"/>
          <w:highlight w:val="none"/>
        </w:rPr>
      </w:pPr>
      <w:r>
        <w:rPr>
          <w:rFonts w:hint="eastAsia" w:ascii="黑体" w:eastAsia="黑体"/>
          <w:szCs w:val="32"/>
        </w:rPr>
        <w:t>第二部分：</w:t>
      </w:r>
      <w:r>
        <w:rPr>
          <w:rFonts w:hint="eastAsia" w:ascii="黑体" w:hAnsi="宋体" w:eastAsia="黑体"/>
          <w:bCs/>
          <w:sz w:val="32"/>
          <w:szCs w:val="32"/>
          <w:highlight w:val="none"/>
          <w:lang w:val="en-US" w:eastAsia="zh-CN"/>
        </w:rPr>
        <w:t>柳州市柳江区市场监管综合行政执法大队</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14:paraId="5C5E30AB">
      <w:pPr>
        <w:tabs>
          <w:tab w:val="center" w:pos="4475"/>
        </w:tabs>
        <w:spacing w:line="560" w:lineRule="exact"/>
        <w:ind w:firstLine="645"/>
        <w:rPr>
          <w:rFonts w:hint="eastAsia" w:ascii="黑体" w:eastAsia="黑体"/>
          <w:szCs w:val="32"/>
        </w:rPr>
      </w:pPr>
      <w:r>
        <w:rPr>
          <w:rFonts w:hint="eastAsia" w:ascii="黑体" w:eastAsia="黑体"/>
          <w:szCs w:val="32"/>
        </w:rPr>
        <w:t>一、单位</w:t>
      </w:r>
      <w:r>
        <w:rPr>
          <w:rFonts w:hint="eastAsia" w:ascii="黑体" w:eastAsia="黑体"/>
          <w:szCs w:val="32"/>
          <w:lang w:eastAsia="zh-CN"/>
        </w:rPr>
        <w:t>预算</w:t>
      </w:r>
      <w:r>
        <w:rPr>
          <w:rFonts w:hint="eastAsia" w:ascii="黑体" w:eastAsia="黑体"/>
          <w:szCs w:val="32"/>
        </w:rPr>
        <w:t>收支</w:t>
      </w:r>
      <w:r>
        <w:rPr>
          <w:rFonts w:hint="eastAsia" w:ascii="黑体" w:eastAsia="黑体"/>
          <w:szCs w:val="32"/>
          <w:lang w:eastAsia="zh-CN"/>
        </w:rPr>
        <w:t>增减变化</w:t>
      </w:r>
      <w:r>
        <w:rPr>
          <w:rFonts w:hint="eastAsia" w:ascii="黑体" w:eastAsia="黑体"/>
          <w:szCs w:val="32"/>
        </w:rPr>
        <w:t>情况说明</w:t>
      </w:r>
    </w:p>
    <w:p w14:paraId="07A7473B">
      <w:pPr>
        <w:tabs>
          <w:tab w:val="center" w:pos="4475"/>
        </w:tabs>
        <w:spacing w:line="560" w:lineRule="exact"/>
        <w:ind w:firstLine="645"/>
        <w:rPr>
          <w:rFonts w:hint="default" w:ascii="黑体" w:eastAsia="黑体"/>
          <w:szCs w:val="32"/>
          <w:lang w:val="en-US"/>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val="en-US" w:eastAsia="zh-CN"/>
        </w:rPr>
        <w:t>807.37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总支出</w:t>
      </w:r>
      <w:r>
        <w:rPr>
          <w:rFonts w:hint="eastAsia" w:ascii="仿宋_GB2312"/>
          <w:sz w:val="32"/>
          <w:szCs w:val="32"/>
          <w:lang w:val="en-US" w:eastAsia="zh-CN"/>
        </w:rPr>
        <w:t>807.37</w:t>
      </w:r>
      <w:r>
        <w:rPr>
          <w:rFonts w:hint="eastAsia" w:ascii="仿宋_GB2312" w:eastAsia="仿宋_GB2312"/>
          <w:sz w:val="32"/>
          <w:szCs w:val="32"/>
        </w:rPr>
        <w:t>万元</w:t>
      </w:r>
      <w:r>
        <w:rPr>
          <w:rFonts w:hint="eastAsia" w:ascii="仿宋_GB2312" w:eastAsia="仿宋_GB2312"/>
          <w:sz w:val="32"/>
          <w:szCs w:val="32"/>
          <w:highlight w:val="none"/>
          <w:lang w:eastAsia="zh-CN"/>
        </w:rPr>
        <w:t>（不含财政拨款上年未列支结转收支数）</w:t>
      </w:r>
      <w:r>
        <w:rPr>
          <w:rFonts w:hint="eastAsia" w:ascii="仿宋_GB2312" w:eastAsia="仿宋_GB2312"/>
          <w:sz w:val="32"/>
          <w:szCs w:val="32"/>
          <w:lang w:eastAsia="zh-CN"/>
        </w:rPr>
        <w:t>。</w:t>
      </w:r>
      <w:r>
        <w:rPr>
          <w:rFonts w:hint="eastAsia" w:ascii="仿宋_GB2312"/>
          <w:sz w:val="32"/>
          <w:szCs w:val="32"/>
          <w:lang w:val="en-US" w:eastAsia="zh-CN"/>
        </w:rPr>
        <w:t>我单位为2025年新增单位，无上年对比数据。</w:t>
      </w:r>
    </w:p>
    <w:p w14:paraId="2FB6A1E0">
      <w:pPr>
        <w:tabs>
          <w:tab w:val="center" w:pos="4475"/>
        </w:tabs>
        <w:spacing w:line="560" w:lineRule="exact"/>
        <w:ind w:firstLine="645"/>
        <w:rPr>
          <w:rFonts w:hint="eastAsia" w:ascii="黑体" w:eastAsia="黑体"/>
          <w:szCs w:val="32"/>
        </w:rPr>
      </w:pPr>
      <w:r>
        <w:rPr>
          <w:rFonts w:hint="eastAsia" w:ascii="黑体" w:eastAsia="黑体"/>
          <w:szCs w:val="32"/>
        </w:rPr>
        <w:t>二、单位</w:t>
      </w:r>
      <w:r>
        <w:rPr>
          <w:rFonts w:hint="eastAsia" w:ascii="黑体" w:eastAsia="黑体"/>
          <w:szCs w:val="32"/>
          <w:lang w:eastAsia="zh-CN"/>
        </w:rPr>
        <w:t>预算</w:t>
      </w:r>
      <w:r>
        <w:rPr>
          <w:rFonts w:hint="eastAsia" w:ascii="黑体" w:eastAsia="黑体"/>
          <w:szCs w:val="32"/>
        </w:rPr>
        <w:t>收入总体情况说明</w:t>
      </w:r>
    </w:p>
    <w:p w14:paraId="647DD531">
      <w:pPr>
        <w:pStyle w:val="7"/>
        <w:numPr>
          <w:ilvl w:val="0"/>
          <w:numId w:val="0"/>
        </w:numPr>
        <w:ind w:firstLine="640" w:firstLineChars="200"/>
        <w:rPr>
          <w:rFonts w:hint="eastAsia" w:ascii="仿宋_GB2312" w:hAnsi="宋体"/>
          <w:szCs w:val="32"/>
          <w:highlight w:val="none"/>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val="en-US" w:eastAsia="zh-CN"/>
        </w:rPr>
        <w:t>807.37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sz w:val="32"/>
          <w:szCs w:val="32"/>
          <w:lang w:val="en-US" w:eastAsia="zh-CN"/>
        </w:rPr>
        <w:t>我单位为2025年新增单位，无上年对比数据。单位收入主要包括：</w:t>
      </w:r>
    </w:p>
    <w:p w14:paraId="7F20BFFB">
      <w:pPr>
        <w:numPr>
          <w:ilvl w:val="0"/>
          <w:numId w:val="0"/>
        </w:numPr>
        <w:tabs>
          <w:tab w:val="center" w:pos="4475"/>
        </w:tabs>
        <w:spacing w:line="560" w:lineRule="exact"/>
        <w:ind w:left="320" w:leftChars="0"/>
        <w:rPr>
          <w:rFonts w:hint="eastAsia" w:ascii="仿宋_GB2312" w:hAnsi="宋体"/>
          <w:szCs w:val="32"/>
          <w:highlight w:val="none"/>
          <w:lang w:val="en-US" w:eastAsia="zh-CN"/>
        </w:rPr>
      </w:pPr>
      <w:r>
        <w:rPr>
          <w:rFonts w:hint="eastAsia" w:ascii="仿宋_GB2312" w:hAnsi="宋体"/>
          <w:szCs w:val="32"/>
          <w:highlight w:val="none"/>
          <w:lang w:val="en-US" w:eastAsia="zh-CN"/>
        </w:rPr>
        <w:t>一般公共预算拨款807.37万元</w:t>
      </w:r>
      <w:r>
        <w:rPr>
          <w:rFonts w:hint="eastAsia" w:ascii="仿宋_GB2312" w:hAnsi="宋体"/>
          <w:szCs w:val="32"/>
          <w:lang w:val="en-US" w:eastAsia="zh-CN"/>
        </w:rPr>
        <w:t>，占总收入的100%</w:t>
      </w:r>
      <w:r>
        <w:rPr>
          <w:rFonts w:hint="eastAsia" w:ascii="仿宋_GB2312" w:hAnsi="宋体"/>
          <w:szCs w:val="32"/>
          <w:highlight w:val="none"/>
          <w:lang w:val="en-US" w:eastAsia="zh-CN"/>
        </w:rPr>
        <w:t>；</w:t>
      </w:r>
    </w:p>
    <w:p w14:paraId="2E04A3E8">
      <w:pPr>
        <w:tabs>
          <w:tab w:val="center" w:pos="4475"/>
        </w:tabs>
        <w:spacing w:line="560" w:lineRule="exact"/>
        <w:ind w:firstLine="645"/>
        <w:rPr>
          <w:rFonts w:hint="eastAsia" w:ascii="黑体" w:eastAsia="黑体"/>
          <w:szCs w:val="32"/>
        </w:rPr>
      </w:pPr>
      <w:r>
        <w:rPr>
          <w:rFonts w:hint="eastAsia" w:ascii="黑体" w:eastAsia="黑体"/>
          <w:szCs w:val="32"/>
        </w:rPr>
        <w:t>三、单位</w:t>
      </w:r>
      <w:r>
        <w:rPr>
          <w:rFonts w:hint="eastAsia" w:ascii="黑体" w:eastAsia="黑体"/>
          <w:szCs w:val="32"/>
          <w:lang w:eastAsia="zh-CN"/>
        </w:rPr>
        <w:t>预算</w:t>
      </w:r>
      <w:r>
        <w:rPr>
          <w:rFonts w:hint="eastAsia" w:ascii="黑体" w:eastAsia="黑体"/>
          <w:szCs w:val="32"/>
        </w:rPr>
        <w:t>支出总体情况说明</w:t>
      </w:r>
    </w:p>
    <w:p w14:paraId="337EDC65">
      <w:pPr>
        <w:tabs>
          <w:tab w:val="center" w:pos="4475"/>
        </w:tabs>
        <w:spacing w:line="560" w:lineRule="exact"/>
        <w:ind w:firstLine="645"/>
        <w:rPr>
          <w:rFonts w:hint="eastAsia" w:ascii="仿宋_GB2312"/>
          <w:sz w:val="32"/>
          <w:szCs w:val="32"/>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w:t>
      </w:r>
      <w:r>
        <w:rPr>
          <w:rFonts w:hint="eastAsia" w:ascii="仿宋_GB2312"/>
          <w:sz w:val="32"/>
          <w:szCs w:val="32"/>
          <w:lang w:eastAsia="zh-CN"/>
        </w:rPr>
        <w:t>支出</w:t>
      </w:r>
      <w:r>
        <w:rPr>
          <w:rFonts w:hint="eastAsia" w:ascii="仿宋_GB2312" w:eastAsia="仿宋_GB2312"/>
          <w:sz w:val="32"/>
          <w:szCs w:val="32"/>
        </w:rPr>
        <w:t xml:space="preserve"> </w:t>
      </w:r>
      <w:r>
        <w:rPr>
          <w:rFonts w:hint="eastAsia" w:ascii="仿宋_GB2312"/>
          <w:sz w:val="32"/>
          <w:szCs w:val="32"/>
          <w:lang w:val="en-US" w:eastAsia="zh-CN"/>
        </w:rPr>
        <w:t>807.37</w:t>
      </w:r>
      <w:r>
        <w:rPr>
          <w:rFonts w:hint="eastAsia" w:ascii="仿宋_GB2312" w:eastAsia="仿宋_GB2312"/>
          <w:sz w:val="32"/>
          <w:szCs w:val="32"/>
        </w:rPr>
        <w:t>万元</w:t>
      </w:r>
      <w:r>
        <w:rPr>
          <w:rFonts w:hint="eastAsia" w:ascii="仿宋_GB2312"/>
          <w:sz w:val="32"/>
          <w:szCs w:val="32"/>
          <w:lang w:eastAsia="zh-CN"/>
        </w:rPr>
        <w:t>，</w:t>
      </w:r>
      <w:r>
        <w:rPr>
          <w:rFonts w:hint="eastAsia" w:ascii="仿宋_GB2312"/>
          <w:sz w:val="32"/>
          <w:szCs w:val="32"/>
          <w:lang w:val="en-US" w:eastAsia="zh-CN"/>
        </w:rPr>
        <w:t>我单位为2025年新增单位，无上年对比数据。单位支出主要包括：</w:t>
      </w:r>
    </w:p>
    <w:p w14:paraId="25CC9CA8">
      <w:pPr>
        <w:numPr>
          <w:ilvl w:val="0"/>
          <w:numId w:val="1"/>
        </w:numPr>
        <w:tabs>
          <w:tab w:val="center" w:pos="4475"/>
        </w:tabs>
        <w:spacing w:line="560" w:lineRule="exact"/>
        <w:ind w:left="-325" w:leftChars="0" w:firstLine="645" w:firstLineChars="0"/>
        <w:rPr>
          <w:rFonts w:hint="eastAsia" w:ascii="仿宋_GB2312" w:hAnsi="宋体"/>
          <w:szCs w:val="32"/>
          <w:highlight w:val="none"/>
          <w:lang w:val="en-US" w:eastAsia="zh-CN"/>
        </w:rPr>
      </w:pPr>
      <w:r>
        <w:rPr>
          <w:rFonts w:hint="eastAsia" w:ascii="仿宋_GB2312" w:hAnsi="宋体"/>
          <w:szCs w:val="32"/>
          <w:lang w:val="en-US" w:eastAsia="zh-CN"/>
        </w:rPr>
        <w:t>一般公共服务支出598.97万元，占总支出的74.19%；</w:t>
      </w:r>
    </w:p>
    <w:p w14:paraId="15A8A0AE">
      <w:pPr>
        <w:numPr>
          <w:ilvl w:val="0"/>
          <w:numId w:val="1"/>
        </w:numPr>
        <w:tabs>
          <w:tab w:val="center" w:pos="4475"/>
        </w:tabs>
        <w:spacing w:line="560" w:lineRule="exact"/>
        <w:ind w:left="-325" w:leftChars="0" w:firstLine="645" w:firstLineChars="0"/>
        <w:rPr>
          <w:rFonts w:hint="eastAsia" w:ascii="仿宋_GB2312" w:hAnsi="宋体"/>
          <w:szCs w:val="32"/>
          <w:highlight w:val="none"/>
          <w:lang w:val="en-US" w:eastAsia="zh-CN"/>
        </w:rPr>
      </w:pPr>
      <w:r>
        <w:rPr>
          <w:rFonts w:hint="eastAsia" w:ascii="仿宋_GB2312" w:hAnsi="宋体"/>
          <w:szCs w:val="32"/>
          <w:highlight w:val="none"/>
          <w:lang w:val="en-US" w:eastAsia="zh-CN"/>
        </w:rPr>
        <w:t>社会保障和就业支出120.54万元</w:t>
      </w:r>
      <w:r>
        <w:rPr>
          <w:rFonts w:hint="eastAsia" w:ascii="仿宋_GB2312" w:hAnsi="宋体"/>
          <w:szCs w:val="32"/>
          <w:lang w:val="en-US" w:eastAsia="zh-CN"/>
        </w:rPr>
        <w:t>，占总支出的14.93%</w:t>
      </w:r>
      <w:r>
        <w:rPr>
          <w:rFonts w:hint="eastAsia" w:ascii="仿宋_GB2312" w:hAnsi="宋体"/>
          <w:szCs w:val="32"/>
          <w:highlight w:val="none"/>
          <w:lang w:val="en-US" w:eastAsia="zh-CN"/>
        </w:rPr>
        <w:t>；</w:t>
      </w:r>
    </w:p>
    <w:p w14:paraId="2E1ECF12">
      <w:pPr>
        <w:numPr>
          <w:ilvl w:val="0"/>
          <w:numId w:val="1"/>
        </w:numPr>
        <w:tabs>
          <w:tab w:val="center" w:pos="4475"/>
        </w:tabs>
        <w:spacing w:line="560" w:lineRule="exact"/>
        <w:ind w:left="-325" w:leftChars="0" w:firstLine="645" w:firstLineChars="0"/>
        <w:rPr>
          <w:rFonts w:hint="eastAsia" w:ascii="仿宋_GB2312" w:hAnsi="宋体"/>
          <w:szCs w:val="32"/>
          <w:highlight w:val="none"/>
          <w:lang w:val="en-US" w:eastAsia="zh-CN"/>
        </w:rPr>
      </w:pPr>
      <w:r>
        <w:rPr>
          <w:rFonts w:hint="eastAsia" w:ascii="仿宋_GB2312" w:hAnsi="宋体"/>
          <w:szCs w:val="32"/>
          <w:highlight w:val="none"/>
          <w:lang w:val="en-US" w:eastAsia="zh-CN"/>
        </w:rPr>
        <w:t>卫生健康支出34.61万元</w:t>
      </w:r>
      <w:r>
        <w:rPr>
          <w:rFonts w:hint="eastAsia" w:ascii="仿宋_GB2312" w:hAnsi="宋体"/>
          <w:szCs w:val="32"/>
          <w:lang w:val="en-US" w:eastAsia="zh-CN"/>
        </w:rPr>
        <w:t>，占总支出的4.28%</w:t>
      </w:r>
      <w:r>
        <w:rPr>
          <w:rFonts w:hint="eastAsia" w:ascii="仿宋_GB2312" w:hAnsi="宋体"/>
          <w:szCs w:val="32"/>
          <w:highlight w:val="none"/>
          <w:lang w:val="en-US" w:eastAsia="zh-CN"/>
        </w:rPr>
        <w:t>；</w:t>
      </w:r>
    </w:p>
    <w:p w14:paraId="6588BB38">
      <w:pPr>
        <w:numPr>
          <w:ilvl w:val="0"/>
          <w:numId w:val="0"/>
        </w:numPr>
        <w:tabs>
          <w:tab w:val="center" w:pos="4475"/>
        </w:tabs>
        <w:spacing w:line="560" w:lineRule="exact"/>
        <w:ind w:left="320" w:leftChars="0"/>
        <w:rPr>
          <w:rFonts w:hint="default" w:ascii="仿宋_GB2312" w:hAnsi="宋体"/>
          <w:szCs w:val="32"/>
          <w:highlight w:val="none"/>
          <w:lang w:val="en-US" w:eastAsia="zh-CN"/>
        </w:rPr>
      </w:pPr>
      <w:r>
        <w:rPr>
          <w:rFonts w:hint="eastAsia" w:ascii="仿宋_GB2312" w:hAnsi="宋体"/>
          <w:szCs w:val="32"/>
          <w:highlight w:val="none"/>
          <w:lang w:val="en-US" w:eastAsia="zh-CN"/>
        </w:rPr>
        <w:t>（四）住房保障支出53.25万元</w:t>
      </w:r>
      <w:r>
        <w:rPr>
          <w:rFonts w:hint="eastAsia" w:ascii="仿宋_GB2312" w:hAnsi="宋体"/>
          <w:szCs w:val="32"/>
          <w:lang w:val="en-US" w:eastAsia="zh-CN"/>
        </w:rPr>
        <w:t>，占总支出的6.6%。</w:t>
      </w:r>
      <w:bookmarkStart w:id="0" w:name="_GoBack"/>
      <w:bookmarkEnd w:id="0"/>
    </w:p>
    <w:p w14:paraId="0B72479E">
      <w:pPr>
        <w:tabs>
          <w:tab w:val="center" w:pos="4475"/>
        </w:tabs>
        <w:spacing w:line="560" w:lineRule="exact"/>
        <w:ind w:firstLine="645"/>
        <w:rPr>
          <w:rFonts w:hint="eastAsia" w:ascii="黑体" w:eastAsia="黑体"/>
          <w:szCs w:val="32"/>
        </w:rPr>
      </w:pPr>
      <w:r>
        <w:rPr>
          <w:rFonts w:hint="eastAsia" w:ascii="黑体" w:eastAsia="黑体"/>
          <w:szCs w:val="32"/>
          <w:lang w:eastAsia="zh-CN"/>
        </w:rPr>
        <w:t>四</w:t>
      </w:r>
      <w:r>
        <w:rPr>
          <w:rFonts w:hint="eastAsia" w:ascii="黑体" w:eastAsia="黑体"/>
          <w:szCs w:val="32"/>
        </w:rPr>
        <w:t>、政府性基金预算支出情况说明</w:t>
      </w:r>
    </w:p>
    <w:p w14:paraId="29C4D973">
      <w:pPr>
        <w:tabs>
          <w:tab w:val="center" w:pos="4475"/>
        </w:tabs>
        <w:spacing w:line="560" w:lineRule="exact"/>
        <w:ind w:firstLine="645"/>
        <w:rPr>
          <w:rFonts w:hint="eastAsia" w:ascii="仿宋_GB2312" w:eastAsia="仿宋_GB2312"/>
          <w:b w:val="0"/>
          <w:bCs w:val="0"/>
          <w:strike w:val="0"/>
          <w:dstrike w:val="0"/>
          <w:szCs w:val="32"/>
          <w:u w:val="none"/>
          <w:lang w:eastAsia="zh-CN"/>
        </w:rPr>
      </w:pPr>
      <w:r>
        <w:rPr>
          <w:rFonts w:hint="eastAsia" w:ascii="仿宋_GB2312" w:hAnsi="宋体"/>
          <w:b w:val="0"/>
          <w:bCs w:val="0"/>
          <w:strike w:val="0"/>
          <w:dstrike w:val="0"/>
          <w:szCs w:val="32"/>
          <w:highlight w:val="none"/>
          <w:u w:val="none"/>
        </w:rPr>
        <w:t>我</w:t>
      </w:r>
      <w:r>
        <w:rPr>
          <w:rFonts w:hint="eastAsia" w:ascii="仿宋_GB2312" w:hAnsi="宋体"/>
          <w:b w:val="0"/>
          <w:bCs w:val="0"/>
          <w:strike w:val="0"/>
          <w:dstrike w:val="0"/>
          <w:szCs w:val="32"/>
          <w:highlight w:val="none"/>
          <w:u w:val="none"/>
          <w:lang w:eastAsia="zh-CN"/>
        </w:rPr>
        <w:t>单位</w:t>
      </w:r>
      <w:r>
        <w:rPr>
          <w:rFonts w:hint="eastAsia" w:ascii="仿宋_GB2312" w:hAnsi="宋体"/>
          <w:b w:val="0"/>
          <w:bCs w:val="0"/>
          <w:strike w:val="0"/>
          <w:dstrike w:val="0"/>
          <w:szCs w:val="32"/>
          <w:highlight w:val="none"/>
          <w:u w:val="none"/>
        </w:rPr>
        <w:t>202</w:t>
      </w:r>
      <w:r>
        <w:rPr>
          <w:rFonts w:hint="eastAsia" w:ascii="仿宋_GB2312" w:hAnsi="宋体"/>
          <w:b w:val="0"/>
          <w:bCs w:val="0"/>
          <w:strike w:val="0"/>
          <w:dstrike w:val="0"/>
          <w:szCs w:val="32"/>
          <w:highlight w:val="none"/>
          <w:u w:val="none"/>
          <w:lang w:val="en-US" w:eastAsia="zh-CN"/>
        </w:rPr>
        <w:t>5</w:t>
      </w:r>
      <w:r>
        <w:rPr>
          <w:rFonts w:hint="eastAsia" w:ascii="仿宋_GB2312" w:hAnsi="宋体"/>
          <w:b w:val="0"/>
          <w:bCs w:val="0"/>
          <w:strike w:val="0"/>
          <w:dstrike w:val="0"/>
          <w:szCs w:val="32"/>
          <w:highlight w:val="none"/>
          <w:u w:val="none"/>
        </w:rPr>
        <w:t>年无政府性基金预算</w:t>
      </w:r>
      <w:r>
        <w:rPr>
          <w:rFonts w:hint="eastAsia" w:ascii="仿宋_GB2312" w:hAnsi="宋体"/>
          <w:b w:val="0"/>
          <w:bCs w:val="0"/>
          <w:strike w:val="0"/>
          <w:dstrike w:val="0"/>
          <w:szCs w:val="32"/>
          <w:highlight w:val="none"/>
          <w:u w:val="none"/>
          <w:lang w:eastAsia="zh-CN"/>
        </w:rPr>
        <w:t>。</w:t>
      </w:r>
    </w:p>
    <w:p w14:paraId="6DB32C68">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40218EB3">
      <w:pPr>
        <w:tabs>
          <w:tab w:val="center" w:pos="4475"/>
        </w:tabs>
        <w:spacing w:line="560" w:lineRule="exact"/>
        <w:ind w:firstLine="645"/>
        <w:rPr>
          <w:rFonts w:hint="eastAsia" w:ascii="仿宋_GB2312" w:eastAsia="仿宋_GB2312"/>
          <w:szCs w:val="32"/>
          <w:lang w:eastAsia="zh-CN"/>
        </w:rPr>
      </w:pPr>
      <w:r>
        <w:rPr>
          <w:rFonts w:hint="eastAsia" w:ascii="仿宋_GB2312" w:hAnsi="宋体"/>
          <w:b w:val="0"/>
          <w:bCs w:val="0"/>
          <w:szCs w:val="32"/>
          <w:highlight w:val="none"/>
          <w:u w:val="none"/>
        </w:rPr>
        <w:t>我</w:t>
      </w:r>
      <w:r>
        <w:rPr>
          <w:rFonts w:hint="eastAsia" w:ascii="仿宋_GB2312" w:hAnsi="宋体"/>
          <w:b w:val="0"/>
          <w:bCs w:val="0"/>
          <w:szCs w:val="32"/>
          <w:highlight w:val="none"/>
          <w:u w:val="none"/>
          <w:lang w:eastAsia="zh-CN"/>
        </w:rPr>
        <w:t>单位</w:t>
      </w:r>
      <w:r>
        <w:rPr>
          <w:rFonts w:hint="eastAsia" w:ascii="仿宋_GB2312" w:hAnsi="宋体"/>
          <w:b w:val="0"/>
          <w:bCs w:val="0"/>
          <w:szCs w:val="32"/>
          <w:highlight w:val="none"/>
          <w:u w:val="none"/>
        </w:rPr>
        <w:t>202</w:t>
      </w:r>
      <w:r>
        <w:rPr>
          <w:rFonts w:hint="eastAsia" w:ascii="仿宋_GB2312" w:hAnsi="宋体"/>
          <w:b w:val="0"/>
          <w:bCs w:val="0"/>
          <w:szCs w:val="32"/>
          <w:highlight w:val="none"/>
          <w:u w:val="none"/>
          <w:lang w:val="en-US" w:eastAsia="zh-CN"/>
        </w:rPr>
        <w:t>5</w:t>
      </w:r>
      <w:r>
        <w:rPr>
          <w:rFonts w:hint="eastAsia" w:ascii="仿宋_GB2312" w:hAnsi="宋体"/>
          <w:b w:val="0"/>
          <w:bCs w:val="0"/>
          <w:szCs w:val="32"/>
          <w:highlight w:val="none"/>
          <w:u w:val="none"/>
        </w:rPr>
        <w:t>年无</w:t>
      </w:r>
      <w:r>
        <w:rPr>
          <w:rFonts w:hint="eastAsia" w:ascii="仿宋_GB2312" w:hAnsi="宋体"/>
          <w:b w:val="0"/>
          <w:bCs w:val="0"/>
          <w:szCs w:val="32"/>
          <w:highlight w:val="none"/>
          <w:u w:val="none"/>
          <w:lang w:eastAsia="zh-CN"/>
        </w:rPr>
        <w:t>国有资本经营</w:t>
      </w:r>
      <w:r>
        <w:rPr>
          <w:rFonts w:hint="eastAsia" w:ascii="仿宋_GB2312" w:hAnsi="宋体"/>
          <w:b w:val="0"/>
          <w:bCs w:val="0"/>
          <w:szCs w:val="32"/>
          <w:highlight w:val="none"/>
          <w:u w:val="none"/>
        </w:rPr>
        <w:t>预算</w:t>
      </w:r>
      <w:r>
        <w:rPr>
          <w:rFonts w:hint="eastAsia" w:ascii="仿宋_GB2312" w:hAnsi="宋体"/>
          <w:b w:val="0"/>
          <w:bCs w:val="0"/>
          <w:szCs w:val="32"/>
          <w:highlight w:val="none"/>
          <w:u w:val="none"/>
          <w:lang w:eastAsia="zh-CN"/>
        </w:rPr>
        <w:t>。</w:t>
      </w:r>
    </w:p>
    <w:p w14:paraId="0BBE43BD">
      <w:pPr>
        <w:tabs>
          <w:tab w:val="center" w:pos="4475"/>
        </w:tabs>
        <w:spacing w:line="560" w:lineRule="exact"/>
        <w:ind w:firstLine="645"/>
        <w:rPr>
          <w:rFonts w:hint="eastAsia" w:ascii="黑体" w:eastAsia="黑体"/>
          <w:szCs w:val="32"/>
        </w:rPr>
      </w:pPr>
      <w:r>
        <w:rPr>
          <w:rFonts w:hint="eastAsia" w:ascii="黑体" w:eastAsia="黑体"/>
          <w:szCs w:val="32"/>
          <w:lang w:eastAsia="zh-CN"/>
        </w:rPr>
        <w:t>六</w:t>
      </w:r>
      <w:r>
        <w:rPr>
          <w:rFonts w:hint="eastAsia" w:ascii="黑体" w:eastAsia="黑体"/>
          <w:szCs w:val="32"/>
        </w:rPr>
        <w:t>、一般公共预算“三公”经费支出情况说明</w:t>
      </w:r>
    </w:p>
    <w:p w14:paraId="58F8C327">
      <w:pPr>
        <w:tabs>
          <w:tab w:val="center" w:pos="4475"/>
        </w:tabs>
        <w:spacing w:line="560" w:lineRule="exact"/>
        <w:ind w:firstLine="645"/>
        <w:rPr>
          <w:rFonts w:hint="eastAsia" w:ascii="仿宋_GB2312" w:hAnsi="宋体"/>
          <w:szCs w:val="32"/>
        </w:rPr>
      </w:pPr>
      <w:r>
        <w:rPr>
          <w:rFonts w:hint="eastAsia" w:ascii="仿宋_GB2312" w:hAnsi="宋体"/>
          <w:szCs w:val="32"/>
        </w:rPr>
        <w:t>我单位</w:t>
      </w:r>
      <w:r>
        <w:rPr>
          <w:rFonts w:hint="eastAsia" w:ascii="仿宋_GB2312"/>
        </w:rPr>
        <w:t>202</w:t>
      </w:r>
      <w:r>
        <w:rPr>
          <w:rFonts w:hint="eastAsia" w:ascii="仿宋_GB2312"/>
          <w:lang w:val="en-US" w:eastAsia="zh-CN"/>
        </w:rPr>
        <w:t>5</w:t>
      </w:r>
      <w:r>
        <w:rPr>
          <w:rFonts w:hint="eastAsia" w:ascii="仿宋_GB2312"/>
        </w:rPr>
        <w:t>年一般公共预算</w:t>
      </w:r>
      <w:r>
        <w:rPr>
          <w:rFonts w:hint="eastAsia" w:ascii="仿宋_GB2312"/>
          <w:bCs/>
        </w:rPr>
        <w:t>安排的“三公”经费支出预算</w:t>
      </w:r>
      <w:r>
        <w:rPr>
          <w:rFonts w:hint="eastAsia" w:ascii="仿宋_GB2312"/>
          <w:bCs/>
          <w:lang w:val="en-US" w:eastAsia="zh-CN"/>
        </w:rPr>
        <w:t>1.15</w:t>
      </w:r>
      <w:r>
        <w:rPr>
          <w:rFonts w:hint="eastAsia" w:ascii="仿宋_GB2312"/>
          <w:bCs/>
        </w:rPr>
        <w:t>万元，</w:t>
      </w:r>
      <w:r>
        <w:rPr>
          <w:rFonts w:hint="eastAsia" w:ascii="仿宋_GB2312"/>
          <w:sz w:val="32"/>
          <w:szCs w:val="32"/>
          <w:lang w:val="en-US" w:eastAsia="zh-CN"/>
        </w:rPr>
        <w:t>我单位为2025年新增单位，无上年对比数据</w:t>
      </w:r>
      <w:r>
        <w:rPr>
          <w:rFonts w:hint="eastAsia" w:ascii="仿宋_GB2312"/>
          <w:bCs/>
        </w:rPr>
        <w:t>，具体如下：</w:t>
      </w:r>
    </w:p>
    <w:p w14:paraId="3817793E">
      <w:pPr>
        <w:tabs>
          <w:tab w:val="center" w:pos="4475"/>
        </w:tabs>
        <w:spacing w:line="560" w:lineRule="exact"/>
        <w:ind w:firstLine="645"/>
        <w:rPr>
          <w:rFonts w:hint="eastAsia" w:ascii="仿宋_GB2312" w:hAnsi="Arial" w:cs="Arial"/>
          <w:kern w:val="0"/>
        </w:rPr>
      </w:pPr>
      <w:r>
        <w:rPr>
          <w:rFonts w:hint="eastAsia" w:ascii="仿宋_GB2312"/>
          <w:lang w:eastAsia="zh-CN"/>
        </w:rPr>
        <w:t>（一）</w:t>
      </w:r>
      <w:r>
        <w:rPr>
          <w:rFonts w:hint="eastAsia" w:ascii="仿宋_GB2312"/>
        </w:rPr>
        <w:t>因公出国（境）费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sz w:val="32"/>
          <w:szCs w:val="32"/>
          <w:lang w:val="en-US" w:eastAsia="zh-CN"/>
        </w:rPr>
        <w:t>我单位为2025年新增单位，无上年对比数据</w:t>
      </w:r>
      <w:r>
        <w:rPr>
          <w:rFonts w:hint="eastAsia" w:ascii="仿宋_GB2312" w:hAnsi="Arial" w:cs="Arial"/>
          <w:kern w:val="0"/>
        </w:rPr>
        <w:t>。</w:t>
      </w:r>
    </w:p>
    <w:p w14:paraId="24928716">
      <w:pPr>
        <w:tabs>
          <w:tab w:val="center" w:pos="4475"/>
        </w:tabs>
        <w:spacing w:line="560" w:lineRule="exact"/>
        <w:ind w:firstLine="645"/>
        <w:rPr>
          <w:rFonts w:hint="eastAsia" w:ascii="仿宋_GB2312" w:hAnsi="宋体"/>
          <w:szCs w:val="32"/>
        </w:rPr>
      </w:pPr>
      <w:r>
        <w:rPr>
          <w:rFonts w:hint="eastAsia" w:ascii="仿宋_GB2312"/>
          <w:lang w:eastAsia="zh-CN"/>
        </w:rPr>
        <w:t>（二）</w:t>
      </w:r>
      <w:r>
        <w:rPr>
          <w:rFonts w:hint="eastAsia" w:ascii="仿宋_GB2312"/>
        </w:rPr>
        <w:t>公务用车购置及运行费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sz w:val="32"/>
          <w:szCs w:val="32"/>
          <w:lang w:val="en-US" w:eastAsia="zh-CN"/>
        </w:rPr>
        <w:t>我单位为2025年新增单位，无上年对比数据</w:t>
      </w:r>
      <w:r>
        <w:rPr>
          <w:rFonts w:hint="eastAsia" w:ascii="仿宋_GB2312" w:hAnsi="宋体"/>
          <w:szCs w:val="32"/>
          <w:lang w:eastAsia="zh-CN"/>
        </w:rPr>
        <w:t>，</w:t>
      </w:r>
      <w:r>
        <w:rPr>
          <w:rFonts w:hint="eastAsia" w:ascii="仿宋_GB2312" w:hAnsi="宋体"/>
          <w:szCs w:val="32"/>
        </w:rPr>
        <w:t>其中：</w:t>
      </w:r>
    </w:p>
    <w:p w14:paraId="45EA07CD">
      <w:pPr>
        <w:tabs>
          <w:tab w:val="center" w:pos="4475"/>
        </w:tabs>
        <w:spacing w:line="560" w:lineRule="exact"/>
        <w:ind w:firstLine="645"/>
        <w:rPr>
          <w:rFonts w:hint="eastAsia" w:ascii="仿宋_GB2312" w:hAnsi="Arial" w:cs="Arial"/>
          <w:kern w:val="0"/>
        </w:rPr>
      </w:pPr>
      <w:r>
        <w:rPr>
          <w:rFonts w:hint="eastAsia" w:ascii="仿宋_GB2312" w:hAnsi="宋体"/>
          <w:szCs w:val="32"/>
        </w:rPr>
        <w:t>公务用车购置费202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sz w:val="32"/>
          <w:szCs w:val="32"/>
          <w:lang w:val="en-US" w:eastAsia="zh-CN"/>
        </w:rPr>
        <w:t>我单位为2025年新增单位，无上年对比数据</w:t>
      </w:r>
      <w:r>
        <w:rPr>
          <w:rFonts w:hint="eastAsia" w:ascii="仿宋_GB2312" w:hAnsi="Arial" w:cs="Arial"/>
          <w:kern w:val="0"/>
        </w:rPr>
        <w:t>；</w:t>
      </w:r>
    </w:p>
    <w:p w14:paraId="49930F17">
      <w:pPr>
        <w:tabs>
          <w:tab w:val="center" w:pos="4475"/>
        </w:tabs>
        <w:spacing w:line="560" w:lineRule="exact"/>
        <w:ind w:firstLine="645"/>
        <w:rPr>
          <w:rFonts w:hint="eastAsia" w:ascii="黑体" w:eastAsia="黑体"/>
          <w:szCs w:val="32"/>
          <w:lang w:eastAsia="zh-CN"/>
        </w:rPr>
      </w:pPr>
      <w:r>
        <w:rPr>
          <w:rFonts w:hint="eastAsia" w:ascii="仿宋_GB2312" w:hAnsi="宋体"/>
          <w:szCs w:val="32"/>
        </w:rPr>
        <w:t>公务用车运行维护费202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sz w:val="32"/>
          <w:szCs w:val="32"/>
          <w:lang w:val="en-US" w:eastAsia="zh-CN"/>
        </w:rPr>
        <w:t>我单位为2025年新增单位，无上年对比数据</w:t>
      </w:r>
      <w:r>
        <w:rPr>
          <w:rFonts w:hint="eastAsia" w:ascii="仿宋_GB2312" w:hAnsi="Arial" w:cs="Arial"/>
          <w:kern w:val="0"/>
        </w:rPr>
        <w:t>。</w:t>
      </w:r>
    </w:p>
    <w:p w14:paraId="4772B8B8">
      <w:pPr>
        <w:tabs>
          <w:tab w:val="center" w:pos="4475"/>
        </w:tabs>
        <w:spacing w:line="560" w:lineRule="exact"/>
        <w:ind w:firstLine="645"/>
        <w:rPr>
          <w:rFonts w:hint="eastAsia" w:ascii="仿宋_GB2312" w:hAnsi="Arial" w:cs="Arial"/>
          <w:kern w:val="0"/>
        </w:rPr>
      </w:pPr>
      <w:r>
        <w:rPr>
          <w:rFonts w:hint="eastAsia" w:ascii="仿宋_GB2312"/>
          <w:lang w:eastAsia="zh-CN"/>
        </w:rPr>
        <w:t>（三）</w:t>
      </w:r>
      <w:r>
        <w:rPr>
          <w:rFonts w:hint="eastAsia" w:ascii="仿宋_GB2312"/>
        </w:rPr>
        <w:t>公务接待费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1.15</w:t>
      </w:r>
      <w:r>
        <w:rPr>
          <w:rFonts w:hint="eastAsia" w:ascii="仿宋_GB2312" w:hAnsi="宋体"/>
          <w:szCs w:val="32"/>
        </w:rPr>
        <w:t>万元，</w:t>
      </w:r>
      <w:r>
        <w:rPr>
          <w:rFonts w:hint="eastAsia" w:ascii="仿宋_GB2312"/>
          <w:sz w:val="32"/>
          <w:szCs w:val="32"/>
          <w:lang w:val="en-US" w:eastAsia="zh-CN"/>
        </w:rPr>
        <w:t>我单位为2025年新增单位，无上年对比数据</w:t>
      </w:r>
      <w:r>
        <w:rPr>
          <w:rFonts w:hint="eastAsia" w:ascii="仿宋_GB2312" w:hAnsi="Arial" w:cs="Arial"/>
          <w:kern w:val="0"/>
        </w:rPr>
        <w:t>。</w:t>
      </w:r>
    </w:p>
    <w:p w14:paraId="13B95747">
      <w:pPr>
        <w:tabs>
          <w:tab w:val="center" w:pos="4475"/>
        </w:tabs>
        <w:spacing w:line="560" w:lineRule="exact"/>
        <w:ind w:firstLine="645"/>
        <w:rPr>
          <w:rFonts w:hint="eastAsia" w:ascii="楷体_GB2312" w:hAnsi="楷体_GB2312" w:eastAsia="楷体_GB2312" w:cs="楷体_GB2312"/>
          <w:szCs w:val="32"/>
        </w:rPr>
      </w:pPr>
      <w:r>
        <w:rPr>
          <w:rFonts w:hint="eastAsia" w:ascii="黑体" w:eastAsia="黑体"/>
          <w:szCs w:val="32"/>
          <w:lang w:eastAsia="zh-CN"/>
        </w:rPr>
        <w:t>七、</w:t>
      </w:r>
      <w:r>
        <w:rPr>
          <w:rFonts w:hint="eastAsia" w:ascii="黑体" w:hAnsi="黑体" w:eastAsia="黑体" w:cs="黑体"/>
          <w:szCs w:val="32"/>
        </w:rPr>
        <w:t>机关运行经费安排情况说明</w:t>
      </w:r>
    </w:p>
    <w:p w14:paraId="2A856E88">
      <w:pPr>
        <w:tabs>
          <w:tab w:val="center" w:pos="4475"/>
        </w:tabs>
        <w:spacing w:line="560" w:lineRule="exact"/>
        <w:ind w:firstLine="645"/>
        <w:rPr>
          <w:rFonts w:hint="eastAsia" w:ascii="仿宋_GB2312" w:hAnsi="宋体"/>
          <w:b/>
          <w:bCs/>
          <w:szCs w:val="32"/>
          <w:highlight w:val="none"/>
          <w:u w:val="single"/>
        </w:rPr>
      </w:pPr>
      <w:r>
        <w:rPr>
          <w:rFonts w:hint="eastAsia" w:ascii="仿宋_GB2312" w:hAnsi="宋体" w:cs="Times New Roman"/>
          <w:szCs w:val="32"/>
          <w:highlight w:val="none"/>
          <w:lang w:eastAsia="zh-CN"/>
        </w:rPr>
        <w:t>我单位</w:t>
      </w:r>
      <w:r>
        <w:rPr>
          <w:rFonts w:hint="eastAsia" w:ascii="仿宋_GB2312" w:hAnsi="宋体" w:cs="Times New Roman"/>
          <w:szCs w:val="32"/>
          <w:highlight w:val="none"/>
          <w:lang w:val="en-US" w:eastAsia="zh-CN"/>
        </w:rPr>
        <w:t>机关</w:t>
      </w:r>
      <w:r>
        <w:rPr>
          <w:rFonts w:hint="eastAsia" w:ascii="仿宋_GB2312" w:hAnsi="宋体" w:cs="Times New Roman"/>
          <w:szCs w:val="32"/>
          <w:highlight w:val="none"/>
          <w:lang w:eastAsia="zh-CN"/>
        </w:rPr>
        <w:t>运行经费主要包括办</w:t>
      </w:r>
      <w:r>
        <w:rPr>
          <w:rFonts w:hint="eastAsia" w:ascii="仿宋_GB2312" w:eastAsia="仿宋_GB2312"/>
          <w:sz w:val="32"/>
          <w:szCs w:val="32"/>
          <w:highlight w:val="none"/>
        </w:rPr>
        <w:t>公费、印刷费、水费、电费、邮电费、差旅费、维修（护）费、会议费、培训费、公务接待费、</w:t>
      </w:r>
      <w:r>
        <w:rPr>
          <w:rFonts w:hint="eastAsia" w:ascii="仿宋_GB2312"/>
          <w:sz w:val="32"/>
          <w:szCs w:val="32"/>
          <w:highlight w:val="none"/>
          <w:lang w:eastAsia="zh-CN"/>
        </w:rPr>
        <w:t>福利费、</w:t>
      </w:r>
      <w:r>
        <w:rPr>
          <w:rFonts w:hint="eastAsia" w:ascii="仿宋_GB2312" w:eastAsia="仿宋_GB2312"/>
          <w:sz w:val="32"/>
          <w:szCs w:val="32"/>
          <w:highlight w:val="none"/>
        </w:rPr>
        <w:t>公务用车运行维护费及其他商品和服务支出</w:t>
      </w:r>
      <w:r>
        <w:rPr>
          <w:rFonts w:hint="eastAsia" w:ascii="仿宋_GB2312" w:hAnsi="宋体" w:cs="Times New Roman"/>
          <w:szCs w:val="32"/>
          <w:highlight w:val="none"/>
          <w:lang w:val="en-US" w:eastAsia="zh-CN"/>
        </w:rPr>
        <w:t>。</w:t>
      </w:r>
      <w:r>
        <w:rPr>
          <w:rFonts w:hint="eastAsia" w:ascii="仿宋_GB2312" w:hAnsi="宋体" w:cs="Times New Roman"/>
          <w:szCs w:val="32"/>
          <w:highlight w:val="none"/>
          <w:lang w:eastAsia="zh-CN"/>
        </w:rPr>
        <w:t>我单位</w:t>
      </w:r>
      <w:r>
        <w:rPr>
          <w:rFonts w:hint="eastAsia" w:ascii="仿宋_GB2312" w:hAnsi="宋体" w:cs="Times New Roman"/>
          <w:szCs w:val="32"/>
          <w:highlight w:val="none"/>
          <w:lang w:val="en-US" w:eastAsia="zh-CN"/>
        </w:rPr>
        <w:t>2025年机关运行经费预算87.06万元，</w:t>
      </w:r>
      <w:r>
        <w:rPr>
          <w:rFonts w:hint="eastAsia" w:ascii="仿宋_GB2312"/>
          <w:sz w:val="32"/>
          <w:szCs w:val="32"/>
          <w:lang w:val="en-US" w:eastAsia="zh-CN"/>
        </w:rPr>
        <w:t>我单位为2025年新增单位，无上年对比数据。</w:t>
      </w:r>
    </w:p>
    <w:p w14:paraId="0CBC84FC">
      <w:pPr>
        <w:tabs>
          <w:tab w:val="center" w:pos="4475"/>
        </w:tabs>
        <w:spacing w:line="560" w:lineRule="exact"/>
        <w:ind w:firstLine="645"/>
        <w:rPr>
          <w:rFonts w:hint="eastAsia" w:ascii="楷体_GB2312" w:hAnsi="楷体_GB2312" w:eastAsia="楷体_GB2312" w:cs="楷体_GB2312"/>
          <w:kern w:val="0"/>
        </w:rPr>
      </w:pPr>
      <w:r>
        <w:rPr>
          <w:rFonts w:hint="eastAsia" w:ascii="黑体" w:hAnsi="黑体" w:eastAsia="黑体" w:cs="黑体"/>
          <w:szCs w:val="32"/>
          <w:lang w:eastAsia="zh-CN"/>
        </w:rPr>
        <w:t>八、</w:t>
      </w:r>
      <w:r>
        <w:rPr>
          <w:rFonts w:hint="eastAsia" w:ascii="黑体" w:hAnsi="黑体" w:eastAsia="黑体" w:cs="黑体"/>
          <w:kern w:val="0"/>
        </w:rPr>
        <w:t>政府采购预算安排情况说明</w:t>
      </w:r>
    </w:p>
    <w:p w14:paraId="3FBD335E">
      <w:pPr>
        <w:tabs>
          <w:tab w:val="center" w:pos="4475"/>
        </w:tabs>
        <w:spacing w:line="560" w:lineRule="exact"/>
        <w:ind w:firstLine="645"/>
        <w:rPr>
          <w:rFonts w:hint="eastAsia" w:ascii="楷体_GB2312" w:hAnsi="楷体_GB2312" w:eastAsia="楷体_GB2312" w:cs="楷体_GB2312"/>
          <w:kern w:val="0"/>
        </w:rPr>
      </w:pPr>
      <w:r>
        <w:rPr>
          <w:rFonts w:hint="eastAsia" w:ascii="仿宋_GB2312" w:hAnsi="宋体"/>
          <w:szCs w:val="32"/>
          <w:highlight w:val="none"/>
        </w:rPr>
        <w:t>我</w:t>
      </w:r>
      <w:r>
        <w:rPr>
          <w:rFonts w:hint="eastAsia" w:ascii="仿宋_GB2312" w:hAnsi="宋体"/>
          <w:szCs w:val="32"/>
          <w:highlight w:val="none"/>
          <w:lang w:eastAsia="zh-CN"/>
        </w:rPr>
        <w:t>单位</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年政府采购预算总金额</w:t>
      </w:r>
      <w:r>
        <w:rPr>
          <w:rFonts w:hint="eastAsia" w:ascii="仿宋_GB2312" w:hAnsi="宋体"/>
          <w:szCs w:val="32"/>
          <w:lang w:val="en-US" w:eastAsia="zh-CN"/>
        </w:rPr>
        <w:t>11.76</w:t>
      </w:r>
      <w:r>
        <w:rPr>
          <w:rFonts w:hint="eastAsia" w:ascii="仿宋_GB2312" w:hAnsi="宋体"/>
          <w:szCs w:val="32"/>
        </w:rPr>
        <w:t>万元。其中：货物类采购</w:t>
      </w:r>
      <w:r>
        <w:rPr>
          <w:rFonts w:hint="eastAsia" w:ascii="仿宋_GB2312" w:hAnsi="宋体"/>
          <w:szCs w:val="32"/>
          <w:lang w:val="en-US" w:eastAsia="zh-CN"/>
        </w:rPr>
        <w:t>11.76</w:t>
      </w:r>
      <w:r>
        <w:rPr>
          <w:rFonts w:hint="eastAsia" w:ascii="仿宋_GB2312" w:hAnsi="宋体"/>
          <w:szCs w:val="32"/>
        </w:rPr>
        <w:t>万元、工程类采购</w:t>
      </w:r>
      <w:r>
        <w:rPr>
          <w:rFonts w:hint="eastAsia" w:ascii="仿宋_GB2312" w:hAnsi="宋体"/>
          <w:szCs w:val="32"/>
          <w:lang w:val="en-US" w:eastAsia="zh-CN"/>
        </w:rPr>
        <w:t>0</w:t>
      </w:r>
      <w:r>
        <w:rPr>
          <w:rFonts w:hint="eastAsia" w:ascii="仿宋_GB2312" w:hAnsi="宋体"/>
          <w:szCs w:val="32"/>
        </w:rPr>
        <w:t>万元、服务类采购</w:t>
      </w:r>
      <w:r>
        <w:rPr>
          <w:rFonts w:hint="eastAsia" w:ascii="仿宋_GB2312" w:hAnsi="宋体"/>
          <w:szCs w:val="32"/>
          <w:lang w:val="en-US" w:eastAsia="zh-CN"/>
        </w:rPr>
        <w:t>0</w:t>
      </w:r>
      <w:r>
        <w:rPr>
          <w:rFonts w:hint="eastAsia" w:ascii="仿宋_GB2312" w:hAnsi="宋体"/>
          <w:szCs w:val="32"/>
        </w:rPr>
        <w:t>万元。</w:t>
      </w:r>
    </w:p>
    <w:p w14:paraId="14EE837E">
      <w:pPr>
        <w:tabs>
          <w:tab w:val="center" w:pos="4475"/>
        </w:tabs>
        <w:spacing w:line="560" w:lineRule="exact"/>
        <w:ind w:firstLine="645"/>
        <w:rPr>
          <w:rFonts w:hint="eastAsia" w:ascii="楷体_GB2312" w:hAnsi="楷体_GB2312" w:eastAsia="楷体_GB2312" w:cs="楷体_GB2312"/>
          <w:kern w:val="0"/>
          <w:lang w:eastAsia="zh-CN"/>
        </w:rPr>
      </w:pPr>
      <w:r>
        <w:rPr>
          <w:rFonts w:hint="eastAsia" w:ascii="黑体" w:hAnsi="黑体" w:eastAsia="黑体" w:cs="黑体"/>
          <w:kern w:val="0"/>
          <w:lang w:eastAsia="zh-CN"/>
        </w:rPr>
        <w:t>九、</w:t>
      </w:r>
      <w:r>
        <w:rPr>
          <w:rFonts w:hint="eastAsia" w:ascii="黑体" w:hAnsi="黑体" w:eastAsia="黑体" w:cs="黑体"/>
          <w:kern w:val="0"/>
        </w:rPr>
        <w:t>国有资产占用情况说明</w:t>
      </w:r>
    </w:p>
    <w:p w14:paraId="3CAAC0B6">
      <w:pPr>
        <w:tabs>
          <w:tab w:val="center" w:pos="4475"/>
        </w:tabs>
        <w:spacing w:line="560" w:lineRule="exact"/>
        <w:ind w:firstLine="645"/>
        <w:rPr>
          <w:rFonts w:hint="eastAsia" w:ascii="仿宋_GB2312" w:hAnsi="宋体" w:eastAsia="仿宋_GB2312"/>
          <w:b w:val="0"/>
          <w:bCs w:val="0"/>
          <w:szCs w:val="32"/>
          <w:highlight w:val="none"/>
          <w:u w:val="none"/>
          <w:lang w:eastAsia="zh-CN"/>
        </w:rPr>
      </w:pPr>
      <w:r>
        <w:rPr>
          <w:rFonts w:hint="eastAsia" w:ascii="仿宋_GB2312" w:hAnsi="宋体"/>
          <w:b w:val="0"/>
          <w:bCs w:val="0"/>
          <w:szCs w:val="32"/>
          <w:highlight w:val="none"/>
          <w:u w:val="none"/>
        </w:rPr>
        <w:t>我</w:t>
      </w:r>
      <w:r>
        <w:rPr>
          <w:rFonts w:hint="eastAsia" w:ascii="仿宋_GB2312" w:hAnsi="宋体"/>
          <w:b w:val="0"/>
          <w:bCs w:val="0"/>
          <w:szCs w:val="32"/>
          <w:highlight w:val="none"/>
          <w:u w:val="none"/>
          <w:lang w:eastAsia="zh-CN"/>
        </w:rPr>
        <w:t>单位</w:t>
      </w:r>
      <w:r>
        <w:rPr>
          <w:rFonts w:hint="eastAsia" w:ascii="仿宋_GB2312" w:hAnsi="宋体"/>
          <w:b w:val="0"/>
          <w:bCs w:val="0"/>
          <w:szCs w:val="32"/>
          <w:highlight w:val="none"/>
          <w:u w:val="none"/>
        </w:rPr>
        <w:t>202</w:t>
      </w:r>
      <w:r>
        <w:rPr>
          <w:rFonts w:hint="eastAsia" w:ascii="仿宋_GB2312" w:hAnsi="宋体"/>
          <w:b w:val="0"/>
          <w:bCs w:val="0"/>
          <w:szCs w:val="32"/>
          <w:highlight w:val="none"/>
          <w:u w:val="none"/>
          <w:lang w:val="en-US" w:eastAsia="zh-CN"/>
        </w:rPr>
        <w:t>5</w:t>
      </w:r>
      <w:r>
        <w:rPr>
          <w:rFonts w:hint="eastAsia" w:ascii="仿宋_GB2312" w:hAnsi="宋体"/>
          <w:b w:val="0"/>
          <w:bCs w:val="0"/>
          <w:szCs w:val="32"/>
          <w:highlight w:val="none"/>
          <w:u w:val="none"/>
        </w:rPr>
        <w:t>年无国有资产占用相关情况</w:t>
      </w:r>
      <w:r>
        <w:rPr>
          <w:rFonts w:hint="eastAsia" w:ascii="仿宋_GB2312" w:hAnsi="宋体"/>
          <w:b w:val="0"/>
          <w:bCs w:val="0"/>
          <w:szCs w:val="32"/>
          <w:highlight w:val="none"/>
          <w:u w:val="none"/>
          <w:lang w:eastAsia="zh-CN"/>
        </w:rPr>
        <w:t>。</w:t>
      </w:r>
    </w:p>
    <w:p w14:paraId="348E10FD">
      <w:pPr>
        <w:tabs>
          <w:tab w:val="center" w:pos="4475"/>
        </w:tabs>
        <w:spacing w:line="560" w:lineRule="exact"/>
        <w:ind w:firstLine="645"/>
        <w:rPr>
          <w:rFonts w:hint="eastAsia" w:ascii="楷体_GB2312" w:hAnsi="楷体_GB2312" w:eastAsia="楷体_GB2312" w:cs="楷体_GB2312"/>
          <w:szCs w:val="32"/>
        </w:rPr>
      </w:pPr>
      <w:r>
        <w:rPr>
          <w:rFonts w:hint="eastAsia" w:ascii="黑体" w:hAnsi="黑体" w:eastAsia="黑体" w:cs="黑体"/>
          <w:szCs w:val="32"/>
          <w:lang w:eastAsia="zh-CN"/>
        </w:rPr>
        <w:t>十、</w:t>
      </w:r>
      <w:r>
        <w:rPr>
          <w:rFonts w:hint="eastAsia" w:ascii="黑体" w:hAnsi="黑体" w:eastAsia="黑体" w:cs="黑体"/>
          <w:szCs w:val="32"/>
        </w:rPr>
        <w:t>预算绩效目标情况说明</w:t>
      </w:r>
    </w:p>
    <w:p w14:paraId="1901FA47">
      <w:pPr>
        <w:tabs>
          <w:tab w:val="center" w:pos="4475"/>
        </w:tabs>
        <w:suppressAutoHyphens w:val="0"/>
        <w:autoSpaceDN w:val="0"/>
        <w:spacing w:line="560" w:lineRule="exact"/>
        <w:ind w:firstLine="645"/>
        <w:rPr>
          <w:rFonts w:hint="eastAsia" w:ascii="仿宋_GB2312" w:hAnsi="宋体"/>
          <w:szCs w:val="32"/>
          <w:highlight w:val="none"/>
          <w:lang w:val="en-US" w:eastAsia="zh-CN"/>
        </w:rPr>
      </w:pPr>
      <w:r>
        <w:rPr>
          <w:rFonts w:hint="eastAsia" w:ascii="仿宋_GB2312" w:hAnsi="Times New Roman" w:eastAsia="仿宋_GB2312" w:cs="仿宋_GB2312"/>
          <w:b w:val="0"/>
          <w:bCs w:val="0"/>
          <w:caps w:val="0"/>
          <w:color w:val="auto"/>
          <w:kern w:val="2"/>
          <w:sz w:val="32"/>
          <w:szCs w:val="32"/>
          <w:vertAlign w:val="baseline"/>
          <w:lang w:val="en-US" w:eastAsia="zh-CN" w:bidi="ar"/>
        </w:rPr>
        <w:t>我</w:t>
      </w:r>
      <w:r>
        <w:rPr>
          <w:rFonts w:hint="eastAsia" w:ascii="仿宋_GB2312" w:cs="仿宋_GB2312"/>
          <w:b w:val="0"/>
          <w:bCs w:val="0"/>
          <w:caps w:val="0"/>
          <w:color w:val="auto"/>
          <w:kern w:val="2"/>
          <w:sz w:val="32"/>
          <w:szCs w:val="32"/>
          <w:vertAlign w:val="baseline"/>
          <w:lang w:val="en-US" w:eastAsia="zh-CN" w:bidi="ar"/>
        </w:rPr>
        <w:t>单位</w:t>
      </w:r>
      <w:r>
        <w:rPr>
          <w:rFonts w:hint="eastAsia" w:ascii="仿宋_GB2312" w:hAnsi="Times New Roman" w:eastAsia="仿宋_GB2312" w:cs="仿宋_GB2312"/>
          <w:b w:val="0"/>
          <w:bCs w:val="0"/>
          <w:caps w:val="0"/>
          <w:color w:val="auto"/>
          <w:kern w:val="2"/>
          <w:sz w:val="32"/>
          <w:szCs w:val="32"/>
          <w:vertAlign w:val="baseline"/>
          <w:lang w:val="en-US" w:eastAsia="zh-CN" w:bidi="ar"/>
        </w:rPr>
        <w:t>2025年</w:t>
      </w:r>
      <w:r>
        <w:rPr>
          <w:rFonts w:hint="eastAsia" w:ascii="仿宋_GB2312" w:cs="仿宋_GB2312"/>
          <w:b w:val="0"/>
          <w:bCs w:val="0"/>
          <w:caps w:val="0"/>
          <w:color w:val="auto"/>
          <w:kern w:val="2"/>
          <w:sz w:val="32"/>
          <w:szCs w:val="32"/>
          <w:vertAlign w:val="baseline"/>
          <w:lang w:val="en-US" w:eastAsia="zh-CN" w:bidi="ar"/>
        </w:rPr>
        <w:t>无</w:t>
      </w:r>
      <w:r>
        <w:rPr>
          <w:rFonts w:hint="eastAsia" w:ascii="仿宋_GB2312" w:hAnsi="Times New Roman" w:eastAsia="仿宋_GB2312" w:cs="仿宋_GB2312"/>
          <w:b w:val="0"/>
          <w:bCs w:val="0"/>
          <w:caps w:val="0"/>
          <w:color w:val="auto"/>
          <w:kern w:val="2"/>
          <w:sz w:val="32"/>
          <w:szCs w:val="32"/>
          <w:vertAlign w:val="baseline"/>
          <w:lang w:val="en-US" w:eastAsia="zh-CN" w:bidi="ar"/>
        </w:rPr>
        <w:t>项目</w:t>
      </w:r>
      <w:r>
        <w:rPr>
          <w:rFonts w:hint="eastAsia" w:ascii="仿宋_GB2312" w:cs="仿宋_GB2312"/>
          <w:b w:val="0"/>
          <w:bCs w:val="0"/>
          <w:caps w:val="0"/>
          <w:color w:val="auto"/>
          <w:kern w:val="2"/>
          <w:sz w:val="32"/>
          <w:szCs w:val="32"/>
          <w:vertAlign w:val="baseline"/>
          <w:lang w:val="en-US" w:eastAsia="zh-CN" w:bidi="ar"/>
        </w:rPr>
        <w:t>支出预算绩效。</w:t>
      </w:r>
    </w:p>
    <w:p w14:paraId="14702682">
      <w:pPr>
        <w:tabs>
          <w:tab w:val="center" w:pos="4475"/>
        </w:tabs>
        <w:spacing w:line="560" w:lineRule="exact"/>
        <w:ind w:firstLine="645"/>
        <w:rPr>
          <w:rFonts w:hint="eastAsia" w:ascii="黑体" w:eastAsia="黑体"/>
          <w:szCs w:val="32"/>
        </w:rPr>
      </w:pPr>
      <w:r>
        <w:rPr>
          <w:rFonts w:hint="eastAsia" w:ascii="黑体" w:eastAsia="黑体"/>
          <w:szCs w:val="32"/>
        </w:rPr>
        <w:t>第三部分：名词解释</w:t>
      </w:r>
    </w:p>
    <w:p w14:paraId="658CED03">
      <w:pPr>
        <w:ind w:firstLine="640"/>
        <w:rPr>
          <w:rFonts w:ascii="黑体" w:eastAsia="黑体"/>
          <w:sz w:val="32"/>
          <w:szCs w:val="32"/>
          <w:highlight w:val="none"/>
        </w:rPr>
      </w:pPr>
      <w:r>
        <w:rPr>
          <w:rFonts w:hint="eastAsia" w:ascii="黑体" w:eastAsia="黑体"/>
          <w:sz w:val="32"/>
          <w:szCs w:val="32"/>
          <w:highlight w:val="none"/>
        </w:rPr>
        <w:t>一、一般公共预算：</w:t>
      </w:r>
      <w:r>
        <w:rPr>
          <w:rFonts w:hint="eastAsia" w:ascii="仿宋_GB2312" w:eastAsia="仿宋_GB2312"/>
          <w:sz w:val="32"/>
          <w:szCs w:val="32"/>
          <w:highlight w:val="none"/>
        </w:rPr>
        <w:t>一般公共预算是对以税收为主体的财政收入，安排用于保障和改善民生、推动经济社会发展、维护国家安全、维持国家机构正常运转等方面的收支预算。</w:t>
      </w:r>
    </w:p>
    <w:p w14:paraId="6FF63AC6">
      <w:pPr>
        <w:ind w:firstLine="640"/>
        <w:rPr>
          <w:rFonts w:ascii="仿宋_GB2312" w:eastAsia="仿宋_GB2312"/>
          <w:sz w:val="32"/>
          <w:szCs w:val="32"/>
          <w:highlight w:val="none"/>
        </w:rPr>
      </w:pPr>
      <w:r>
        <w:rPr>
          <w:rFonts w:hint="eastAsia" w:ascii="黑体" w:eastAsia="黑体"/>
          <w:sz w:val="32"/>
          <w:szCs w:val="32"/>
          <w:highlight w:val="none"/>
        </w:rPr>
        <w:t>二、政府性基金预算：</w:t>
      </w:r>
      <w:r>
        <w:rPr>
          <w:rFonts w:hint="eastAsia" w:ascii="仿宋_GB2312" w:eastAsia="仿宋_GB2312"/>
          <w:sz w:val="32"/>
          <w:szCs w:val="32"/>
          <w:highlight w:val="none"/>
        </w:rPr>
        <w:t>政府性基金预算是对依照法律、行政法规的规定在一定期限内向特定对象征收、收取或者以其他方式筹集的资金，专项用于特定公共事业发展的收支预算。</w:t>
      </w:r>
    </w:p>
    <w:p w14:paraId="5347ECAD">
      <w:pPr>
        <w:ind w:firstLine="640"/>
        <w:rPr>
          <w:rFonts w:ascii="仿宋_GB2312" w:eastAsia="仿宋_GB2312"/>
          <w:sz w:val="32"/>
          <w:szCs w:val="32"/>
          <w:highlight w:val="none"/>
        </w:rPr>
      </w:pPr>
      <w:r>
        <w:rPr>
          <w:rFonts w:hint="eastAsia" w:ascii="黑体" w:eastAsia="黑体"/>
          <w:sz w:val="32"/>
          <w:szCs w:val="32"/>
          <w:highlight w:val="none"/>
        </w:rPr>
        <w:t>三、国有资本经营预算</w:t>
      </w:r>
      <w:r>
        <w:rPr>
          <w:rFonts w:hint="eastAsia" w:ascii="仿宋_GB2312" w:eastAsia="仿宋_GB2312"/>
          <w:sz w:val="32"/>
          <w:szCs w:val="32"/>
          <w:highlight w:val="none"/>
        </w:rPr>
        <w:t>：国有资本经营预算是对国有资本收益做出支出安排的收支预算。</w:t>
      </w:r>
    </w:p>
    <w:p w14:paraId="3C682878">
      <w:pPr>
        <w:ind w:firstLine="640"/>
        <w:rPr>
          <w:rFonts w:ascii="仿宋_GB2312" w:eastAsia="仿宋_GB2312"/>
          <w:sz w:val="32"/>
          <w:szCs w:val="32"/>
          <w:highlight w:val="none"/>
        </w:rPr>
      </w:pPr>
      <w:r>
        <w:rPr>
          <w:rFonts w:hint="eastAsia" w:ascii="黑体" w:eastAsia="黑体"/>
          <w:sz w:val="32"/>
          <w:szCs w:val="32"/>
          <w:highlight w:val="none"/>
        </w:rPr>
        <w:t>四、财政拨款收入：</w:t>
      </w:r>
      <w:r>
        <w:rPr>
          <w:rFonts w:hint="eastAsia" w:ascii="仿宋_GB2312" w:eastAsia="仿宋_GB2312"/>
          <w:sz w:val="32"/>
          <w:szCs w:val="32"/>
          <w:highlight w:val="none"/>
        </w:rPr>
        <w:t>指财政</w:t>
      </w:r>
      <w:r>
        <w:rPr>
          <w:rFonts w:hint="eastAsia" w:ascii="仿宋_GB2312"/>
          <w:sz w:val="32"/>
          <w:szCs w:val="32"/>
          <w:highlight w:val="none"/>
          <w:lang w:eastAsia="zh-CN"/>
        </w:rPr>
        <w:t>单位</w:t>
      </w:r>
      <w:r>
        <w:rPr>
          <w:rFonts w:hint="eastAsia" w:ascii="仿宋_GB2312" w:eastAsia="仿宋_GB2312"/>
          <w:sz w:val="32"/>
          <w:szCs w:val="32"/>
          <w:highlight w:val="none"/>
        </w:rPr>
        <w:t xml:space="preserve">当年拨付的资金。 </w:t>
      </w:r>
    </w:p>
    <w:p w14:paraId="6DB532C4">
      <w:pPr>
        <w:ind w:firstLine="640"/>
        <w:rPr>
          <w:rFonts w:ascii="仿宋_GB2312" w:eastAsia="仿宋_GB2312"/>
          <w:sz w:val="32"/>
          <w:szCs w:val="32"/>
          <w:highlight w:val="none"/>
        </w:rPr>
      </w:pPr>
      <w:r>
        <w:rPr>
          <w:rFonts w:hint="eastAsia" w:ascii="黑体" w:eastAsia="黑体"/>
          <w:sz w:val="32"/>
          <w:szCs w:val="32"/>
          <w:highlight w:val="none"/>
        </w:rPr>
        <w:t>五、非税收入：</w:t>
      </w:r>
      <w:r>
        <w:rPr>
          <w:rFonts w:hint="eastAsia" w:ascii="仿宋_GB2312" w:eastAsia="仿宋_GB2312"/>
          <w:sz w:val="32"/>
          <w:szCs w:val="32"/>
          <w:highlight w:val="none"/>
        </w:rPr>
        <w:t>指除税收以外，由各级政府、国家机关、事业单位、代行政府职能的社会团体及其他组织依法利用政府权力、政府信誉、国家资源、国有资产或提供特定公共服务、准公共服务取得并用于满足社会公共需要或准公共需要的财政资金。主要包括：政府性基金收入、专项收入、行政事业性收费收入、罚没收入、国有资本经营收入、国有资源（资产）有偿使用收入、捐赠收入、政府住房基金收入、其他收入</w:t>
      </w:r>
    </w:p>
    <w:p w14:paraId="567AB5C0">
      <w:pPr>
        <w:ind w:firstLine="640" w:firstLineChars="200"/>
        <w:rPr>
          <w:rFonts w:ascii="仿宋_GB2312" w:eastAsia="仿宋_GB2312"/>
          <w:sz w:val="32"/>
          <w:szCs w:val="32"/>
          <w:highlight w:val="none"/>
        </w:rPr>
      </w:pPr>
      <w:r>
        <w:rPr>
          <w:rFonts w:hint="eastAsia" w:ascii="黑体" w:eastAsia="黑体"/>
          <w:sz w:val="32"/>
          <w:szCs w:val="32"/>
          <w:highlight w:val="none"/>
        </w:rPr>
        <w:t>六、事业收入：</w:t>
      </w:r>
      <w:r>
        <w:rPr>
          <w:rFonts w:hint="eastAsia" w:ascii="仿宋_GB2312" w:eastAsia="仿宋_GB2312"/>
          <w:sz w:val="32"/>
          <w:szCs w:val="32"/>
          <w:highlight w:val="none"/>
        </w:rPr>
        <w:t>指事业单位开展专业业务活动及辅助活动所取得的收入。</w:t>
      </w:r>
    </w:p>
    <w:p w14:paraId="4A20CF3F">
      <w:pPr>
        <w:ind w:firstLine="640" w:firstLineChars="200"/>
        <w:rPr>
          <w:rFonts w:ascii="仿宋_GB2312" w:eastAsia="仿宋_GB2312"/>
          <w:sz w:val="32"/>
          <w:szCs w:val="32"/>
          <w:highlight w:val="none"/>
        </w:rPr>
      </w:pPr>
      <w:r>
        <w:rPr>
          <w:rFonts w:hint="eastAsia" w:ascii="黑体" w:eastAsia="黑体"/>
          <w:sz w:val="32"/>
          <w:szCs w:val="32"/>
          <w:highlight w:val="none"/>
        </w:rPr>
        <w:t>七、经营收入：</w:t>
      </w:r>
      <w:r>
        <w:rPr>
          <w:rFonts w:hint="eastAsia" w:ascii="仿宋_GB2312" w:eastAsia="仿宋_GB2312"/>
          <w:sz w:val="32"/>
          <w:szCs w:val="32"/>
          <w:highlight w:val="none"/>
        </w:rPr>
        <w:t>指事业单位在专业业务活动及其辅助活动之外开展非独立核算经营活动取得的收入。</w:t>
      </w:r>
    </w:p>
    <w:p w14:paraId="031FA8F5">
      <w:pPr>
        <w:ind w:firstLine="640"/>
        <w:rPr>
          <w:rFonts w:ascii="仿宋_GB2312" w:eastAsia="仿宋_GB2312"/>
          <w:sz w:val="32"/>
          <w:szCs w:val="32"/>
          <w:highlight w:val="none"/>
        </w:rPr>
      </w:pPr>
      <w:r>
        <w:rPr>
          <w:rFonts w:hint="eastAsia" w:ascii="黑体" w:eastAsia="黑体"/>
          <w:sz w:val="32"/>
          <w:szCs w:val="32"/>
          <w:highlight w:val="none"/>
        </w:rPr>
        <w:t>八、其他收入：</w:t>
      </w:r>
      <w:r>
        <w:rPr>
          <w:rFonts w:hint="eastAsia" w:ascii="仿宋_GB2312" w:eastAsia="仿宋_GB2312"/>
          <w:sz w:val="32"/>
          <w:szCs w:val="32"/>
          <w:highlight w:val="none"/>
        </w:rPr>
        <w:t>指除上述“财政拨款收入”、“事业收入”、“经营收入”等以外的收入。</w:t>
      </w:r>
    </w:p>
    <w:p w14:paraId="57F867AE">
      <w:pPr>
        <w:ind w:firstLine="640" w:firstLineChars="200"/>
        <w:rPr>
          <w:rFonts w:ascii="仿宋_GB2312" w:eastAsia="仿宋_GB2312"/>
          <w:sz w:val="32"/>
          <w:szCs w:val="32"/>
          <w:highlight w:val="none"/>
        </w:rPr>
      </w:pPr>
      <w:r>
        <w:rPr>
          <w:rFonts w:hint="eastAsia" w:ascii="黑体" w:eastAsia="黑体"/>
          <w:sz w:val="32"/>
          <w:szCs w:val="32"/>
          <w:highlight w:val="none"/>
        </w:rPr>
        <w:t>九、上年结转和结余：</w:t>
      </w:r>
      <w:r>
        <w:rPr>
          <w:rFonts w:hint="eastAsia" w:ascii="仿宋_GB2312" w:eastAsia="仿宋_GB2312"/>
          <w:sz w:val="32"/>
          <w:szCs w:val="32"/>
          <w:highlight w:val="none"/>
        </w:rPr>
        <w:t>指以前年度尚未完成、结转到本年按有关规定继续使用的资金。</w:t>
      </w:r>
    </w:p>
    <w:p w14:paraId="7908B601">
      <w:pPr>
        <w:ind w:firstLine="640" w:firstLineChars="200"/>
        <w:rPr>
          <w:rFonts w:ascii="仿宋_GB2312" w:eastAsia="仿宋_GB2312"/>
          <w:sz w:val="32"/>
          <w:szCs w:val="32"/>
          <w:highlight w:val="none"/>
        </w:rPr>
      </w:pPr>
      <w:r>
        <w:rPr>
          <w:rFonts w:hint="eastAsia" w:ascii="黑体" w:eastAsia="黑体"/>
          <w:sz w:val="32"/>
          <w:szCs w:val="32"/>
          <w:highlight w:val="none"/>
        </w:rPr>
        <w:t>十、基本支出：</w:t>
      </w:r>
      <w:r>
        <w:rPr>
          <w:rFonts w:hint="eastAsia" w:ascii="仿宋_GB2312" w:eastAsia="仿宋_GB2312"/>
          <w:sz w:val="32"/>
          <w:szCs w:val="32"/>
          <w:highlight w:val="none"/>
        </w:rPr>
        <w:t>指为保障机构正常运转、完成日常工作任务而发生的人员支出和公用支出。</w:t>
      </w:r>
    </w:p>
    <w:p w14:paraId="5B4753B0">
      <w:pPr>
        <w:ind w:firstLine="640" w:firstLineChars="200"/>
        <w:rPr>
          <w:rFonts w:ascii="仿宋_GB2312" w:eastAsia="仿宋_GB2312"/>
          <w:sz w:val="32"/>
          <w:szCs w:val="32"/>
          <w:highlight w:val="none"/>
        </w:rPr>
      </w:pPr>
      <w:r>
        <w:rPr>
          <w:rFonts w:hint="eastAsia" w:ascii="黑体" w:eastAsia="黑体"/>
          <w:sz w:val="32"/>
          <w:szCs w:val="32"/>
          <w:highlight w:val="none"/>
        </w:rPr>
        <w:t>十一、项目支出：</w:t>
      </w:r>
      <w:r>
        <w:rPr>
          <w:rFonts w:hint="eastAsia" w:ascii="仿宋_GB2312" w:eastAsia="仿宋_GB2312"/>
          <w:sz w:val="32"/>
          <w:szCs w:val="32"/>
          <w:highlight w:val="none"/>
        </w:rPr>
        <w:t xml:space="preserve">指在基本支出之外为完成特定行政任务和事业发展目标所发生的支出。  </w:t>
      </w:r>
    </w:p>
    <w:p w14:paraId="238D0A57">
      <w:pPr>
        <w:ind w:firstLine="640" w:firstLineChars="200"/>
        <w:rPr>
          <w:rFonts w:ascii="仿宋_GB2312" w:eastAsia="仿宋_GB2312"/>
          <w:sz w:val="32"/>
          <w:szCs w:val="32"/>
          <w:highlight w:val="none"/>
        </w:rPr>
      </w:pPr>
      <w:r>
        <w:rPr>
          <w:rFonts w:hint="eastAsia" w:ascii="黑体" w:eastAsia="黑体"/>
          <w:sz w:val="32"/>
          <w:szCs w:val="32"/>
          <w:highlight w:val="none"/>
        </w:rPr>
        <w:t>十二、经营支出：</w:t>
      </w:r>
      <w:r>
        <w:rPr>
          <w:rFonts w:hint="eastAsia" w:ascii="仿宋_GB2312" w:eastAsia="仿宋_GB2312"/>
          <w:sz w:val="32"/>
          <w:szCs w:val="32"/>
          <w:highlight w:val="none"/>
        </w:rPr>
        <w:t>指事业单位在专业业务活动及其辅助活动之外开展非独立核算经营活动发生的支出。</w:t>
      </w:r>
    </w:p>
    <w:p w14:paraId="31537944">
      <w:pPr>
        <w:ind w:firstLine="640" w:firstLineChars="200"/>
        <w:rPr>
          <w:rFonts w:ascii="仿宋_GB2312" w:eastAsia="仿宋_GB2312"/>
          <w:sz w:val="32"/>
          <w:szCs w:val="32"/>
          <w:highlight w:val="none"/>
        </w:rPr>
      </w:pPr>
      <w:r>
        <w:rPr>
          <w:rFonts w:hint="eastAsia" w:ascii="黑体" w:eastAsia="黑体"/>
          <w:sz w:val="32"/>
          <w:szCs w:val="32"/>
          <w:highlight w:val="none"/>
        </w:rPr>
        <w:t>十三、“三公”经费：</w:t>
      </w:r>
      <w:r>
        <w:rPr>
          <w:rFonts w:hint="eastAsia" w:ascii="仿宋_GB2312" w:eastAsia="仿宋_GB2312"/>
          <w:sz w:val="32"/>
          <w:szCs w:val="32"/>
          <w:highlight w:val="none"/>
        </w:rPr>
        <w:t>指各</w:t>
      </w:r>
      <w:r>
        <w:rPr>
          <w:rFonts w:hint="eastAsia" w:ascii="仿宋_GB2312"/>
          <w:sz w:val="32"/>
          <w:szCs w:val="32"/>
          <w:highlight w:val="none"/>
          <w:lang w:eastAsia="zh-CN"/>
        </w:rPr>
        <w:t>单位</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6BBE5E0">
      <w:pPr>
        <w:ind w:firstLine="640" w:firstLineChars="200"/>
        <w:rPr>
          <w:rFonts w:ascii="仿宋_GB2312" w:eastAsia="仿宋_GB2312"/>
          <w:sz w:val="32"/>
          <w:szCs w:val="32"/>
          <w:highlight w:val="none"/>
        </w:rPr>
      </w:pPr>
      <w:r>
        <w:rPr>
          <w:rFonts w:hint="eastAsia" w:ascii="黑体" w:eastAsia="黑体"/>
          <w:sz w:val="32"/>
          <w:szCs w:val="32"/>
          <w:highlight w:val="none"/>
        </w:rPr>
        <w:t>十四、运行经费：</w:t>
      </w:r>
      <w:r>
        <w:rPr>
          <w:rFonts w:hint="eastAsia" w:ascii="仿宋_GB2312" w:eastAsia="仿宋_GB2312"/>
          <w:sz w:val="32"/>
          <w:szCs w:val="32"/>
          <w:highlight w:val="none"/>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E3ED40">
      <w:pPr>
        <w:spacing w:line="500" w:lineRule="exact"/>
        <w:ind w:firstLine="645"/>
        <w:rPr>
          <w:rFonts w:ascii="黑体" w:eastAsia="黑体"/>
          <w:sz w:val="32"/>
          <w:szCs w:val="32"/>
          <w:highlight w:val="none"/>
        </w:rPr>
      </w:pPr>
      <w:r>
        <w:rPr>
          <w:rFonts w:hint="eastAsia" w:ascii="黑体" w:eastAsia="黑体"/>
          <w:sz w:val="32"/>
          <w:szCs w:val="32"/>
          <w:highlight w:val="none"/>
        </w:rPr>
        <w:t>十五、支出类常用科目的说明</w:t>
      </w:r>
    </w:p>
    <w:p w14:paraId="613B243F">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1．一般公共服务</w:t>
      </w:r>
      <w:r>
        <w:rPr>
          <w:rFonts w:hint="eastAsia" w:ascii="仿宋_GB2312" w:eastAsia="仿宋_GB2312"/>
          <w:sz w:val="32"/>
          <w:szCs w:val="32"/>
          <w:highlight w:val="none"/>
        </w:rPr>
        <w:t xml:space="preserve">  反映政府提供一般公共服务的支出。主要包括：人大事务、政协事务、政府办公厅（室）及相关机构事务、发展与改革事务、统计信息事务、财政事务、税收事务、审计事务、海关事务、人力资源事务、纪检监察事务、商贸事务、知识产权事务、民族事务、宗教事务、港澳台侨事务</w:t>
      </w:r>
      <w:r>
        <w:rPr>
          <w:rFonts w:hint="eastAsia" w:ascii="仿宋_GB2312" w:eastAsia="仿宋_GB2312"/>
          <w:sz w:val="32"/>
          <w:szCs w:val="32"/>
          <w:highlight w:val="none"/>
          <w:lang w:eastAsia="zh-CN"/>
        </w:rPr>
        <w:t>、市场监督管理事务</w:t>
      </w:r>
      <w:r>
        <w:rPr>
          <w:rFonts w:hint="eastAsia" w:ascii="仿宋_GB2312" w:eastAsia="仿宋_GB2312"/>
          <w:sz w:val="32"/>
          <w:szCs w:val="32"/>
          <w:highlight w:val="none"/>
        </w:rPr>
        <w:t>等。</w:t>
      </w:r>
    </w:p>
    <w:p w14:paraId="768A6624">
      <w:pPr>
        <w:spacing w:line="500" w:lineRule="exact"/>
        <w:ind w:firstLine="645"/>
        <w:rPr>
          <w:rFonts w:hint="eastAsia" w:ascii="黑体" w:eastAsia="黑体"/>
          <w:sz w:val="32"/>
          <w:szCs w:val="32"/>
          <w:highlight w:val="none"/>
          <w:lang w:val="en-US" w:eastAsia="zh-CN"/>
        </w:rPr>
      </w:pPr>
      <w:r>
        <w:rPr>
          <w:rFonts w:hint="eastAsia" w:ascii="黑体" w:eastAsia="黑体"/>
          <w:sz w:val="32"/>
          <w:szCs w:val="32"/>
          <w:highlight w:val="none"/>
        </w:rPr>
        <w:t>2．</w:t>
      </w:r>
      <w:r>
        <w:rPr>
          <w:rFonts w:hint="eastAsia" w:ascii="黑体" w:eastAsia="黑体"/>
          <w:sz w:val="32"/>
          <w:szCs w:val="32"/>
          <w:highlight w:val="none"/>
          <w:lang w:eastAsia="zh-CN"/>
        </w:rPr>
        <w:t>国防</w:t>
      </w:r>
      <w:r>
        <w:rPr>
          <w:rFonts w:hint="eastAsia" w:ascii="黑体" w:eastAsia="黑体"/>
          <w:sz w:val="32"/>
          <w:szCs w:val="32"/>
          <w:highlight w:val="none"/>
          <w:lang w:val="en-US" w:eastAsia="zh-CN"/>
        </w:rPr>
        <w:t xml:space="preserve">  </w:t>
      </w:r>
      <w:r>
        <w:rPr>
          <w:rFonts w:hint="eastAsia" w:ascii="仿宋_GB2312" w:eastAsia="仿宋_GB2312"/>
          <w:sz w:val="32"/>
          <w:szCs w:val="32"/>
          <w:highlight w:val="none"/>
        </w:rPr>
        <w:t>反映政府</w:t>
      </w:r>
      <w:r>
        <w:rPr>
          <w:rFonts w:hint="eastAsia" w:ascii="仿宋_GB2312" w:eastAsia="仿宋_GB2312"/>
          <w:sz w:val="32"/>
          <w:szCs w:val="32"/>
          <w:highlight w:val="none"/>
          <w:lang w:eastAsia="zh-CN"/>
        </w:rPr>
        <w:t>用于国防</w:t>
      </w:r>
      <w:r>
        <w:rPr>
          <w:rFonts w:hint="eastAsia" w:ascii="仿宋_GB2312" w:eastAsia="仿宋_GB2312"/>
          <w:sz w:val="32"/>
          <w:szCs w:val="32"/>
          <w:highlight w:val="none"/>
        </w:rPr>
        <w:t>方面的支出。主要包括：</w:t>
      </w:r>
      <w:r>
        <w:rPr>
          <w:rFonts w:hint="eastAsia" w:ascii="仿宋_GB2312" w:eastAsia="仿宋_GB2312"/>
          <w:sz w:val="32"/>
          <w:szCs w:val="32"/>
          <w:highlight w:val="none"/>
          <w:lang w:eastAsia="zh-CN"/>
        </w:rPr>
        <w:t>现役部队、国防动员</w:t>
      </w:r>
      <w:r>
        <w:rPr>
          <w:rFonts w:hint="eastAsia" w:ascii="仿宋_GB2312" w:eastAsia="仿宋_GB2312"/>
          <w:sz w:val="32"/>
          <w:szCs w:val="32"/>
          <w:highlight w:val="none"/>
        </w:rPr>
        <w:t>等。</w:t>
      </w:r>
    </w:p>
    <w:p w14:paraId="2B140B57">
      <w:pPr>
        <w:spacing w:line="500" w:lineRule="exact"/>
        <w:ind w:firstLine="645"/>
        <w:rPr>
          <w:rFonts w:hint="eastAsia" w:ascii="黑体" w:eastAsia="黑体"/>
          <w:sz w:val="32"/>
          <w:szCs w:val="32"/>
          <w:highlight w:val="none"/>
        </w:rPr>
      </w:pPr>
      <w:r>
        <w:rPr>
          <w:rFonts w:hint="eastAsia" w:ascii="黑体" w:eastAsia="黑体"/>
          <w:sz w:val="32"/>
          <w:szCs w:val="32"/>
          <w:highlight w:val="none"/>
        </w:rPr>
        <w:t>3．公共安全</w:t>
      </w:r>
      <w:r>
        <w:rPr>
          <w:rFonts w:hint="eastAsia" w:ascii="仿宋_GB2312" w:eastAsia="仿宋_GB2312"/>
          <w:sz w:val="32"/>
          <w:szCs w:val="32"/>
          <w:highlight w:val="none"/>
        </w:rPr>
        <w:t xml:space="preserve">  反映政府维护社会公共安全方面的支出。主要包括：武装警察</w:t>
      </w:r>
      <w:r>
        <w:rPr>
          <w:rFonts w:hint="eastAsia" w:ascii="仿宋_GB2312" w:eastAsia="仿宋_GB2312"/>
          <w:sz w:val="32"/>
          <w:szCs w:val="32"/>
          <w:highlight w:val="none"/>
          <w:lang w:eastAsia="zh-CN"/>
        </w:rPr>
        <w:t>部队</w:t>
      </w:r>
      <w:r>
        <w:rPr>
          <w:rFonts w:hint="eastAsia" w:ascii="仿宋_GB2312" w:eastAsia="仿宋_GB2312"/>
          <w:sz w:val="32"/>
          <w:szCs w:val="32"/>
          <w:highlight w:val="none"/>
        </w:rPr>
        <w:t>、公安、国家安全、检察、法院、司法、监狱、强制隔离戒毒、国家保密等。</w:t>
      </w:r>
    </w:p>
    <w:p w14:paraId="3C49F9A2">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4．教育</w:t>
      </w:r>
      <w:r>
        <w:rPr>
          <w:rFonts w:hint="eastAsia" w:ascii="仿宋_GB2312" w:eastAsia="仿宋_GB2312"/>
          <w:sz w:val="32"/>
          <w:szCs w:val="32"/>
          <w:highlight w:val="none"/>
        </w:rPr>
        <w:t xml:space="preserve">  反映政府教育支出情况。主要包括：教育管理事务、普通教育、职业教育、成人教育、广播电视教育、留学教育、特殊教育、进修及培训、教育费附加安排的支出等。</w:t>
      </w:r>
    </w:p>
    <w:p w14:paraId="4A44EF21">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5．科学技术</w:t>
      </w:r>
      <w:r>
        <w:rPr>
          <w:rFonts w:hint="eastAsia" w:ascii="仿宋_GB2312" w:eastAsia="仿宋_GB2312"/>
          <w:sz w:val="32"/>
          <w:szCs w:val="32"/>
          <w:highlight w:val="none"/>
        </w:rPr>
        <w:t xml:space="preserve">  反映用于科学技术方面的支出。主要包括：科学技术管理事务、基础研究、应用研究、技术研究与开发、科技条件与服务、社会科学、科学技术普及、科技交流与合作等。</w:t>
      </w:r>
    </w:p>
    <w:p w14:paraId="0EDCDFC7">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6．文化</w:t>
      </w:r>
      <w:r>
        <w:rPr>
          <w:rFonts w:hint="eastAsia" w:ascii="黑体" w:eastAsia="黑体"/>
          <w:sz w:val="32"/>
          <w:szCs w:val="32"/>
          <w:highlight w:val="none"/>
          <w:lang w:eastAsia="zh-CN"/>
        </w:rPr>
        <w:t>旅游</w:t>
      </w:r>
      <w:r>
        <w:rPr>
          <w:rFonts w:hint="eastAsia" w:ascii="黑体" w:eastAsia="黑体"/>
          <w:sz w:val="32"/>
          <w:szCs w:val="32"/>
          <w:highlight w:val="none"/>
        </w:rPr>
        <w:t>体育与传媒</w:t>
      </w:r>
      <w:r>
        <w:rPr>
          <w:rFonts w:hint="eastAsia" w:ascii="仿宋_GB2312" w:eastAsia="仿宋_GB2312"/>
          <w:sz w:val="32"/>
          <w:szCs w:val="32"/>
          <w:highlight w:val="none"/>
        </w:rPr>
        <w:t xml:space="preserve">  反映政府在文化</w:t>
      </w:r>
      <w:r>
        <w:rPr>
          <w:rFonts w:hint="eastAsia" w:ascii="仿宋_GB2312" w:eastAsia="仿宋_GB2312"/>
          <w:sz w:val="32"/>
          <w:szCs w:val="32"/>
          <w:highlight w:val="none"/>
          <w:lang w:eastAsia="zh-CN"/>
        </w:rPr>
        <w:t>、旅游</w:t>
      </w:r>
      <w:r>
        <w:rPr>
          <w:rFonts w:hint="eastAsia" w:ascii="仿宋_GB2312" w:eastAsia="仿宋_GB2312"/>
          <w:sz w:val="32"/>
          <w:szCs w:val="32"/>
          <w:highlight w:val="none"/>
        </w:rPr>
        <w:t>、文物、体育、广播影视、</w:t>
      </w:r>
      <w:r>
        <w:rPr>
          <w:rFonts w:hint="eastAsia" w:ascii="仿宋_GB2312" w:eastAsia="仿宋_GB2312"/>
          <w:sz w:val="32"/>
          <w:szCs w:val="32"/>
          <w:highlight w:val="none"/>
          <w:lang w:eastAsia="zh-CN"/>
        </w:rPr>
        <w:t>电影、</w:t>
      </w:r>
      <w:r>
        <w:rPr>
          <w:rFonts w:hint="eastAsia" w:ascii="仿宋_GB2312" w:eastAsia="仿宋_GB2312"/>
          <w:sz w:val="32"/>
          <w:szCs w:val="32"/>
          <w:highlight w:val="none"/>
        </w:rPr>
        <w:t>新闻出版等方面的支出。主要包括：文化</w:t>
      </w:r>
      <w:r>
        <w:rPr>
          <w:rFonts w:hint="eastAsia" w:ascii="仿宋_GB2312" w:eastAsia="仿宋_GB2312"/>
          <w:sz w:val="32"/>
          <w:szCs w:val="32"/>
          <w:highlight w:val="none"/>
          <w:lang w:eastAsia="zh-CN"/>
        </w:rPr>
        <w:t>和旅游</w:t>
      </w:r>
      <w:r>
        <w:rPr>
          <w:rFonts w:hint="eastAsia" w:ascii="仿宋_GB2312" w:eastAsia="仿宋_GB2312"/>
          <w:sz w:val="32"/>
          <w:szCs w:val="32"/>
          <w:highlight w:val="none"/>
        </w:rPr>
        <w:t>、文物、体育、新闻出版</w:t>
      </w:r>
      <w:r>
        <w:rPr>
          <w:rFonts w:hint="eastAsia" w:ascii="仿宋_GB2312" w:eastAsia="仿宋_GB2312"/>
          <w:sz w:val="32"/>
          <w:szCs w:val="32"/>
          <w:highlight w:val="none"/>
          <w:lang w:eastAsia="zh-CN"/>
        </w:rPr>
        <w:t>电影</w:t>
      </w:r>
      <w:r>
        <w:rPr>
          <w:rFonts w:hint="eastAsia" w:ascii="仿宋_GB2312" w:eastAsia="仿宋_GB2312"/>
          <w:sz w:val="32"/>
          <w:szCs w:val="32"/>
          <w:highlight w:val="none"/>
        </w:rPr>
        <w:t>等。</w:t>
      </w:r>
    </w:p>
    <w:p w14:paraId="2B902B03">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 xml:space="preserve">7．社会保障和就业  </w:t>
      </w:r>
      <w:r>
        <w:rPr>
          <w:rFonts w:hint="eastAsia" w:ascii="仿宋_GB2312" w:eastAsia="仿宋_GB2312"/>
          <w:sz w:val="32"/>
          <w:szCs w:val="32"/>
          <w:highlight w:val="none"/>
        </w:rPr>
        <w:t>反映政府在社会保障与就业方面的支出。主要包括：人力资源和社会保障管理事务、民政管理事务、补充全国社会保障基金、行政事业单位离退休、企业改革补助、就业补助、抚恤、退役安置、社会福利、残疾人事业、自然灾害生活救助、红十字事业、最低生活保障、临时救助、特困人员供养等。</w:t>
      </w:r>
    </w:p>
    <w:p w14:paraId="720AE2C3">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8．卫生</w:t>
      </w:r>
      <w:r>
        <w:rPr>
          <w:rFonts w:hint="eastAsia" w:ascii="黑体" w:eastAsia="黑体"/>
          <w:sz w:val="32"/>
          <w:szCs w:val="32"/>
          <w:highlight w:val="none"/>
          <w:lang w:eastAsia="zh-CN"/>
        </w:rPr>
        <w:t>健康</w:t>
      </w:r>
      <w:r>
        <w:rPr>
          <w:rFonts w:hint="eastAsia" w:ascii="黑体" w:eastAsia="黑体"/>
          <w:sz w:val="32"/>
          <w:szCs w:val="32"/>
          <w:highlight w:val="none"/>
        </w:rPr>
        <w:t xml:space="preserve"> </w:t>
      </w:r>
      <w:r>
        <w:rPr>
          <w:rFonts w:hint="eastAsia" w:ascii="仿宋_GB2312" w:eastAsia="仿宋_GB2312"/>
          <w:sz w:val="32"/>
          <w:szCs w:val="32"/>
          <w:highlight w:val="none"/>
        </w:rPr>
        <w:t xml:space="preserve"> 反映政府</w:t>
      </w:r>
      <w:r>
        <w:rPr>
          <w:rFonts w:hint="eastAsia" w:ascii="仿宋_GB2312" w:eastAsia="仿宋_GB2312"/>
          <w:sz w:val="32"/>
          <w:szCs w:val="32"/>
          <w:highlight w:val="none"/>
          <w:lang w:eastAsia="zh-CN"/>
        </w:rPr>
        <w:t>卫生健康</w:t>
      </w:r>
      <w:r>
        <w:rPr>
          <w:rFonts w:hint="eastAsia" w:ascii="仿宋_GB2312" w:eastAsia="仿宋_GB2312"/>
          <w:sz w:val="32"/>
          <w:szCs w:val="32"/>
          <w:highlight w:val="none"/>
        </w:rPr>
        <w:t>方面的支出。主要包括：</w:t>
      </w:r>
      <w:r>
        <w:rPr>
          <w:rFonts w:hint="eastAsia" w:ascii="仿宋_GB2312" w:eastAsia="仿宋_GB2312"/>
          <w:sz w:val="32"/>
          <w:szCs w:val="32"/>
          <w:highlight w:val="none"/>
          <w:lang w:eastAsia="zh-CN"/>
        </w:rPr>
        <w:t>卫生健康</w:t>
      </w:r>
      <w:r>
        <w:rPr>
          <w:rFonts w:hint="eastAsia" w:ascii="仿宋_GB2312" w:eastAsia="仿宋_GB2312"/>
          <w:sz w:val="32"/>
          <w:szCs w:val="32"/>
          <w:highlight w:val="none"/>
        </w:rPr>
        <w:t>管理事务、公立医院、基层医疗卫生机构、公共卫生、中医药、计划生育事务等。</w:t>
      </w:r>
    </w:p>
    <w:p w14:paraId="54BE995B">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9．节能环保</w:t>
      </w:r>
      <w:r>
        <w:rPr>
          <w:rFonts w:hint="eastAsia" w:ascii="仿宋_GB2312" w:eastAsia="仿宋_GB2312"/>
          <w:sz w:val="32"/>
          <w:szCs w:val="32"/>
          <w:highlight w:val="none"/>
        </w:rPr>
        <w:t xml:space="preserve">  反映政府环境保护支出。主要包括：环境保护管理事务、环境监测与监察、污染防治、自然生态保护、天然林保护、退耕还林、风沙荒漠治理、退牧还草、已垦草原退耕还草等。</w:t>
      </w:r>
    </w:p>
    <w:p w14:paraId="03912F15">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 xml:space="preserve">10．城乡社区  </w:t>
      </w:r>
      <w:r>
        <w:rPr>
          <w:rFonts w:hint="eastAsia" w:ascii="仿宋_GB2312" w:eastAsia="仿宋_GB2312"/>
          <w:sz w:val="32"/>
          <w:szCs w:val="32"/>
          <w:highlight w:val="none"/>
        </w:rPr>
        <w:t>反映政府城乡社区事务支出。主要包括：城乡社区管理事务、城乡社区规划与管理、城乡社区公共设施、城乡社区环境卫生、建设市场管理与监督、政府住房基金及对应专项债务收入安排的支出、国有土地使用权出让收入及对应专项债务收入安排的支出等。</w:t>
      </w:r>
    </w:p>
    <w:p w14:paraId="07CFF9E8">
      <w:pPr>
        <w:spacing w:line="50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11.</w:t>
      </w:r>
      <w:r>
        <w:rPr>
          <w:rFonts w:hint="eastAsia" w:ascii="黑体" w:eastAsia="黑体"/>
          <w:sz w:val="32"/>
          <w:szCs w:val="32"/>
          <w:highlight w:val="none"/>
        </w:rPr>
        <w:t>农林水</w:t>
      </w:r>
      <w:r>
        <w:rPr>
          <w:rFonts w:hint="eastAsia" w:ascii="仿宋_GB2312" w:eastAsia="仿宋_GB2312"/>
          <w:sz w:val="32"/>
          <w:szCs w:val="32"/>
          <w:highlight w:val="none"/>
        </w:rPr>
        <w:t xml:space="preserve">  反映政府农林水事务支出。主要包括：农业、林业</w:t>
      </w:r>
      <w:r>
        <w:rPr>
          <w:rFonts w:hint="eastAsia" w:ascii="仿宋_GB2312" w:eastAsia="仿宋_GB2312"/>
          <w:sz w:val="32"/>
          <w:szCs w:val="32"/>
          <w:highlight w:val="none"/>
          <w:lang w:eastAsia="zh-CN"/>
        </w:rPr>
        <w:t>和草原</w:t>
      </w:r>
      <w:r>
        <w:rPr>
          <w:rFonts w:hint="eastAsia" w:ascii="仿宋_GB2312" w:eastAsia="仿宋_GB2312"/>
          <w:sz w:val="32"/>
          <w:szCs w:val="32"/>
          <w:highlight w:val="none"/>
        </w:rPr>
        <w:t>、水利、南水北调、扶贫、农业综合开发等。</w:t>
      </w:r>
    </w:p>
    <w:p w14:paraId="7CE797D3">
      <w:pPr>
        <w:spacing w:line="50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12.</w:t>
      </w:r>
      <w:r>
        <w:rPr>
          <w:rFonts w:hint="eastAsia" w:ascii="黑体" w:eastAsia="黑体"/>
          <w:sz w:val="32"/>
          <w:szCs w:val="32"/>
          <w:highlight w:val="none"/>
        </w:rPr>
        <w:t>交通运输</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反映政府交通运输和邮政业方面的支出。包括公路水路运输支出、铁路运输支出、民用航空运输支出和邮政业支出等。</w:t>
      </w:r>
    </w:p>
    <w:p w14:paraId="20E7555F">
      <w:pPr>
        <w:spacing w:line="50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13.</w:t>
      </w:r>
      <w:r>
        <w:rPr>
          <w:rFonts w:hint="eastAsia" w:ascii="黑体" w:eastAsia="黑体"/>
          <w:sz w:val="32"/>
          <w:szCs w:val="32"/>
          <w:highlight w:val="none"/>
        </w:rPr>
        <w:t>资源勘探</w:t>
      </w:r>
      <w:r>
        <w:rPr>
          <w:rFonts w:hint="eastAsia" w:ascii="黑体" w:eastAsia="黑体"/>
          <w:sz w:val="32"/>
          <w:szCs w:val="32"/>
          <w:highlight w:val="none"/>
          <w:lang w:eastAsia="zh-CN"/>
        </w:rPr>
        <w:t>工业</w:t>
      </w:r>
      <w:r>
        <w:rPr>
          <w:rFonts w:hint="eastAsia" w:ascii="黑体" w:eastAsia="黑体"/>
          <w:sz w:val="32"/>
          <w:szCs w:val="32"/>
          <w:highlight w:val="none"/>
        </w:rPr>
        <w:t>信息等</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反映</w:t>
      </w:r>
      <w:r>
        <w:rPr>
          <w:rFonts w:hint="eastAsia" w:ascii="仿宋_GB2312" w:eastAsia="仿宋_GB2312"/>
          <w:sz w:val="32"/>
          <w:szCs w:val="32"/>
          <w:highlight w:val="none"/>
          <w:lang w:eastAsia="zh-CN"/>
        </w:rPr>
        <w:t>用于</w:t>
      </w:r>
      <w:r>
        <w:rPr>
          <w:rFonts w:hint="eastAsia" w:ascii="仿宋_GB2312" w:eastAsia="仿宋_GB2312"/>
          <w:sz w:val="32"/>
          <w:szCs w:val="32"/>
          <w:highlight w:val="none"/>
        </w:rPr>
        <w:t>资源勘探</w:t>
      </w:r>
      <w:r>
        <w:rPr>
          <w:rFonts w:hint="eastAsia" w:ascii="仿宋_GB2312" w:eastAsia="仿宋_GB2312"/>
          <w:sz w:val="32"/>
          <w:szCs w:val="32"/>
          <w:highlight w:val="none"/>
          <w:lang w:eastAsia="zh-CN"/>
        </w:rPr>
        <w:t>、制造业、建筑业、工业</w:t>
      </w:r>
      <w:r>
        <w:rPr>
          <w:rFonts w:hint="eastAsia" w:ascii="仿宋_GB2312" w:eastAsia="仿宋_GB2312"/>
          <w:sz w:val="32"/>
          <w:szCs w:val="32"/>
          <w:highlight w:val="none"/>
        </w:rPr>
        <w:t>信息等</w:t>
      </w:r>
      <w:r>
        <w:rPr>
          <w:rFonts w:hint="eastAsia" w:ascii="仿宋_GB2312" w:eastAsia="仿宋_GB2312"/>
          <w:sz w:val="32"/>
          <w:szCs w:val="32"/>
          <w:highlight w:val="none"/>
          <w:lang w:eastAsia="zh-CN"/>
        </w:rPr>
        <w:t>方面</w:t>
      </w:r>
      <w:r>
        <w:rPr>
          <w:rFonts w:hint="eastAsia" w:ascii="仿宋_GB2312" w:eastAsia="仿宋_GB2312"/>
          <w:sz w:val="32"/>
          <w:szCs w:val="32"/>
          <w:highlight w:val="none"/>
        </w:rPr>
        <w:t>支出。具体包括：资源勘探业开发、制造业、建筑业、工业和信息产业监管、国有资产监管、支持中小企业发展和管理支出等。</w:t>
      </w:r>
    </w:p>
    <w:p w14:paraId="460A896A">
      <w:pPr>
        <w:spacing w:line="500" w:lineRule="exact"/>
        <w:ind w:firstLine="645"/>
        <w:rPr>
          <w:rFonts w:hint="eastAsia"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4</w:t>
      </w:r>
      <w:r>
        <w:rPr>
          <w:rFonts w:hint="eastAsia" w:ascii="黑体" w:eastAsia="黑体"/>
          <w:sz w:val="32"/>
          <w:szCs w:val="32"/>
          <w:highlight w:val="none"/>
        </w:rPr>
        <w:t>．商业服务业等</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反映商业服务业等事务的支出。具体包括：商业流通事务、旅游业管理与服务支出、涉外发展事务支出等。</w:t>
      </w:r>
    </w:p>
    <w:p w14:paraId="192CEC61">
      <w:pPr>
        <w:spacing w:line="50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15</w:t>
      </w:r>
      <w:r>
        <w:rPr>
          <w:rFonts w:hint="eastAsia" w:ascii="黑体" w:eastAsia="黑体"/>
          <w:sz w:val="32"/>
          <w:szCs w:val="32"/>
          <w:highlight w:val="none"/>
        </w:rPr>
        <w:t>．</w:t>
      </w:r>
      <w:r>
        <w:rPr>
          <w:rFonts w:hint="eastAsia" w:ascii="黑体" w:eastAsia="黑体"/>
          <w:sz w:val="32"/>
          <w:szCs w:val="32"/>
          <w:highlight w:val="none"/>
          <w:lang w:eastAsia="zh-CN"/>
        </w:rPr>
        <w:t>自然资源</w:t>
      </w:r>
      <w:r>
        <w:rPr>
          <w:rFonts w:hint="eastAsia" w:ascii="黑体" w:eastAsia="黑体"/>
          <w:sz w:val="32"/>
          <w:szCs w:val="32"/>
          <w:highlight w:val="none"/>
        </w:rPr>
        <w:t>海洋气象等</w:t>
      </w:r>
      <w:r>
        <w:rPr>
          <w:rFonts w:hint="eastAsia" w:ascii="仿宋_GB2312" w:eastAsia="仿宋_GB2312"/>
          <w:sz w:val="32"/>
          <w:szCs w:val="32"/>
          <w:highlight w:val="none"/>
        </w:rPr>
        <w:t xml:space="preserve">  反映政府用于</w:t>
      </w:r>
      <w:r>
        <w:rPr>
          <w:rFonts w:hint="eastAsia" w:ascii="仿宋_GB2312" w:eastAsia="仿宋_GB2312"/>
          <w:sz w:val="32"/>
          <w:szCs w:val="32"/>
          <w:highlight w:val="none"/>
          <w:lang w:eastAsia="zh-CN"/>
        </w:rPr>
        <w:t>自然</w:t>
      </w:r>
      <w:r>
        <w:rPr>
          <w:rFonts w:hint="eastAsia" w:ascii="仿宋_GB2312" w:eastAsia="仿宋_GB2312"/>
          <w:sz w:val="32"/>
          <w:szCs w:val="32"/>
          <w:highlight w:val="none"/>
        </w:rPr>
        <w:t>资源、海洋、测绘、地震、气象等公益服务事业方面的支出。具体包括：</w:t>
      </w:r>
      <w:r>
        <w:rPr>
          <w:rFonts w:hint="eastAsia" w:ascii="仿宋_GB2312" w:eastAsia="仿宋_GB2312"/>
          <w:sz w:val="32"/>
          <w:szCs w:val="32"/>
          <w:highlight w:val="none"/>
          <w:lang w:eastAsia="zh-CN"/>
        </w:rPr>
        <w:t>自然</w:t>
      </w:r>
      <w:r>
        <w:rPr>
          <w:rFonts w:hint="eastAsia" w:ascii="仿宋_GB2312" w:eastAsia="仿宋_GB2312"/>
          <w:sz w:val="32"/>
          <w:szCs w:val="32"/>
          <w:highlight w:val="none"/>
        </w:rPr>
        <w:t>资源事务、海洋管理事务、测绘事务等。</w:t>
      </w:r>
    </w:p>
    <w:p w14:paraId="504D761C">
      <w:pPr>
        <w:spacing w:line="50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16</w:t>
      </w:r>
      <w:r>
        <w:rPr>
          <w:rFonts w:hint="eastAsia" w:ascii="黑体" w:eastAsia="黑体"/>
          <w:sz w:val="32"/>
          <w:szCs w:val="32"/>
          <w:highlight w:val="none"/>
        </w:rPr>
        <w:t>．</w:t>
      </w:r>
      <w:r>
        <w:rPr>
          <w:rFonts w:hint="eastAsia" w:ascii="黑体" w:eastAsia="黑体"/>
          <w:sz w:val="32"/>
          <w:szCs w:val="32"/>
          <w:highlight w:val="none"/>
          <w:lang w:eastAsia="zh-CN"/>
        </w:rPr>
        <w:t>住房保障</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 xml:space="preserve"> 反映政府用于住房方面的支出。具体包括保障性安居工程支出、住房改革支出、城乡社区住宅支出等。</w:t>
      </w:r>
    </w:p>
    <w:p w14:paraId="50FCCAA3">
      <w:pPr>
        <w:spacing w:line="50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17</w:t>
      </w:r>
      <w:r>
        <w:rPr>
          <w:rFonts w:hint="eastAsia" w:ascii="黑体" w:eastAsia="黑体"/>
          <w:sz w:val="32"/>
          <w:szCs w:val="32"/>
          <w:highlight w:val="none"/>
        </w:rPr>
        <w:t>．</w:t>
      </w:r>
      <w:r>
        <w:rPr>
          <w:rFonts w:hint="eastAsia" w:ascii="黑体" w:eastAsia="黑体"/>
          <w:sz w:val="32"/>
          <w:szCs w:val="32"/>
          <w:highlight w:val="none"/>
          <w:lang w:eastAsia="zh-CN"/>
        </w:rPr>
        <w:t>粮油物资储备</w:t>
      </w:r>
      <w:r>
        <w:rPr>
          <w:rFonts w:hint="eastAsia" w:ascii="仿宋_GB2312" w:eastAsia="仿宋_GB2312"/>
          <w:sz w:val="32"/>
          <w:szCs w:val="32"/>
          <w:highlight w:val="none"/>
        </w:rPr>
        <w:t xml:space="preserve">  反映政府用于粮油物资储备方面的支出。具体包括粮油事务、物资事务、能源储备、粮油储备等。</w:t>
      </w:r>
    </w:p>
    <w:p w14:paraId="1F4C8711">
      <w:pPr>
        <w:spacing w:line="500" w:lineRule="exact"/>
        <w:ind w:firstLine="645"/>
        <w:rPr>
          <w:rFonts w:hint="eastAsia" w:ascii="仿宋_GB2312" w:eastAsia="仿宋_GB2312"/>
          <w:sz w:val="32"/>
          <w:szCs w:val="32"/>
          <w:highlight w:val="none"/>
        </w:rPr>
      </w:pPr>
      <w:r>
        <w:rPr>
          <w:rFonts w:hint="eastAsia" w:ascii="仿宋_GB2312" w:eastAsia="仿宋_GB2312"/>
          <w:b/>
          <w:sz w:val="32"/>
          <w:szCs w:val="32"/>
          <w:highlight w:val="none"/>
        </w:rPr>
        <w:t>18</w:t>
      </w:r>
      <w:r>
        <w:rPr>
          <w:rFonts w:hint="eastAsia" w:ascii="黑体" w:eastAsia="黑体"/>
          <w:sz w:val="32"/>
          <w:szCs w:val="32"/>
          <w:highlight w:val="none"/>
        </w:rPr>
        <w:t>．</w:t>
      </w:r>
      <w:r>
        <w:rPr>
          <w:rFonts w:hint="eastAsia" w:ascii="黑体" w:eastAsia="黑体"/>
          <w:sz w:val="32"/>
          <w:szCs w:val="32"/>
          <w:highlight w:val="none"/>
          <w:lang w:eastAsia="zh-CN"/>
        </w:rPr>
        <w:t>灾害防治及应急管理</w:t>
      </w:r>
      <w:r>
        <w:rPr>
          <w:rFonts w:hint="eastAsia" w:ascii="仿宋_GB2312" w:eastAsia="仿宋_GB2312"/>
          <w:b/>
          <w:sz w:val="32"/>
          <w:szCs w:val="32"/>
          <w:highlight w:val="none"/>
          <w:lang w:val="en-US" w:eastAsia="zh-CN"/>
        </w:rPr>
        <w:t xml:space="preserve">  </w:t>
      </w:r>
      <w:r>
        <w:rPr>
          <w:rFonts w:hint="eastAsia" w:ascii="仿宋_GB2312" w:eastAsia="仿宋_GB2312"/>
          <w:sz w:val="32"/>
          <w:szCs w:val="32"/>
          <w:highlight w:val="none"/>
          <w:lang w:val="en-US" w:eastAsia="zh-CN"/>
        </w:rPr>
        <w:t>反映用于自然灾害防治、安全生产监管及应急管理等方面的支出。</w:t>
      </w:r>
      <w:r>
        <w:rPr>
          <w:rFonts w:hint="eastAsia" w:ascii="仿宋_GB2312" w:eastAsia="仿宋_GB2312"/>
          <w:sz w:val="32"/>
          <w:szCs w:val="32"/>
          <w:highlight w:val="none"/>
        </w:rPr>
        <w:t>具体包括</w:t>
      </w:r>
      <w:r>
        <w:rPr>
          <w:rFonts w:hint="eastAsia" w:ascii="仿宋_GB2312" w:eastAsia="仿宋_GB2312"/>
          <w:sz w:val="32"/>
          <w:szCs w:val="32"/>
          <w:highlight w:val="none"/>
          <w:lang w:eastAsia="zh-CN"/>
        </w:rPr>
        <w:t>应急管理事务、消防食物</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地震事务</w:t>
      </w:r>
      <w:r>
        <w:rPr>
          <w:rFonts w:hint="eastAsia" w:ascii="仿宋_GB2312" w:eastAsia="仿宋_GB2312"/>
          <w:sz w:val="32"/>
          <w:szCs w:val="32"/>
          <w:highlight w:val="none"/>
        </w:rPr>
        <w:t>支出等。</w:t>
      </w:r>
    </w:p>
    <w:p w14:paraId="27694752">
      <w:pPr>
        <w:spacing w:line="500" w:lineRule="exact"/>
        <w:ind w:firstLine="645"/>
        <w:rPr>
          <w:rFonts w:hint="eastAsia" w:ascii="黑体" w:hAnsi="宋体" w:eastAsia="黑体"/>
          <w:bCs/>
          <w:szCs w:val="32"/>
        </w:rPr>
      </w:pPr>
      <w:r>
        <w:rPr>
          <w:rFonts w:hint="eastAsia" w:ascii="黑体" w:hAnsi="宋体" w:eastAsia="黑体"/>
          <w:szCs w:val="32"/>
          <w:lang w:eastAsia="zh-CN"/>
        </w:rPr>
        <w:t>第四部分：</w:t>
      </w:r>
      <w:r>
        <w:rPr>
          <w:rFonts w:hint="eastAsia" w:ascii="黑体" w:hAnsi="宋体" w:eastAsia="黑体"/>
          <w:bCs/>
          <w:sz w:val="32"/>
          <w:szCs w:val="32"/>
          <w:highlight w:val="none"/>
          <w:lang w:val="en-US" w:eastAsia="zh-CN"/>
        </w:rPr>
        <w:t>柳州市柳江区市场监管综合行政执法大队</w:t>
      </w:r>
      <w:r>
        <w:rPr>
          <w:rFonts w:hint="eastAsia" w:ascii="黑体" w:hAnsi="宋体" w:eastAsia="黑体"/>
          <w:szCs w:val="32"/>
          <w:lang w:eastAsia="zh-CN"/>
        </w:rPr>
        <w:t>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预算报表</w:t>
      </w:r>
    </w:p>
    <w:p w14:paraId="5E584997">
      <w:pPr>
        <w:spacing w:before="312" w:beforeLines="100" w:after="312" w:afterLines="100" w:line="360" w:lineRule="exact"/>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rPr>
        <w:t>表1：</w:t>
      </w:r>
      <w:r>
        <w:rPr>
          <w:rFonts w:hint="eastAsia" w:ascii="仿宋_GB2312"/>
          <w:bCs/>
          <w:sz w:val="32"/>
          <w:szCs w:val="32"/>
          <w:highlight w:val="none"/>
          <w:lang w:eastAsia="zh-CN"/>
        </w:rPr>
        <w:t>单位</w:t>
      </w:r>
      <w:r>
        <w:rPr>
          <w:rFonts w:hint="eastAsia" w:ascii="仿宋_GB2312" w:eastAsia="仿宋_GB2312"/>
          <w:bCs/>
          <w:sz w:val="32"/>
          <w:szCs w:val="32"/>
          <w:highlight w:val="none"/>
          <w:lang w:eastAsia="zh-CN"/>
        </w:rPr>
        <w:t>收支总体情况表</w:t>
      </w:r>
    </w:p>
    <w:p w14:paraId="1831D970">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表2：</w:t>
      </w:r>
      <w:r>
        <w:rPr>
          <w:rFonts w:hint="eastAsia" w:ascii="仿宋_GB2312"/>
          <w:bCs/>
          <w:sz w:val="32"/>
          <w:szCs w:val="32"/>
          <w:highlight w:val="none"/>
          <w:lang w:eastAsia="zh-CN"/>
        </w:rPr>
        <w:t>单位</w:t>
      </w:r>
      <w:r>
        <w:rPr>
          <w:rFonts w:hint="eastAsia" w:ascii="仿宋_GB2312" w:eastAsia="仿宋_GB2312"/>
          <w:bCs/>
          <w:sz w:val="32"/>
          <w:szCs w:val="32"/>
          <w:highlight w:val="none"/>
        </w:rPr>
        <w:t>收入总体情况表</w:t>
      </w:r>
    </w:p>
    <w:p w14:paraId="5E1D521A">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表3：</w:t>
      </w:r>
      <w:r>
        <w:rPr>
          <w:rFonts w:hint="eastAsia" w:ascii="仿宋_GB2312"/>
          <w:bCs/>
          <w:sz w:val="32"/>
          <w:szCs w:val="32"/>
          <w:highlight w:val="none"/>
          <w:lang w:eastAsia="zh-CN"/>
        </w:rPr>
        <w:t>单位</w:t>
      </w:r>
      <w:r>
        <w:rPr>
          <w:rFonts w:hint="eastAsia" w:ascii="仿宋_GB2312" w:eastAsia="仿宋_GB2312"/>
          <w:bCs/>
          <w:sz w:val="32"/>
          <w:szCs w:val="32"/>
          <w:highlight w:val="none"/>
        </w:rPr>
        <w:t>支出总体情况表</w:t>
      </w:r>
    </w:p>
    <w:p w14:paraId="5B4C78BD">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表4：财政拨款收支总体情况表</w:t>
      </w:r>
    </w:p>
    <w:p w14:paraId="5ABC6AA6">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表5：一般公共预算支出情况表</w:t>
      </w:r>
    </w:p>
    <w:p w14:paraId="72D71CEA">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表6：一般公共预算基本支出情况表</w:t>
      </w:r>
    </w:p>
    <w:p w14:paraId="25789CC7">
      <w:pPr>
        <w:spacing w:before="312" w:beforeLines="100" w:after="312" w:afterLines="100" w:line="360" w:lineRule="exact"/>
        <w:ind w:left="1600" w:leftChars="200" w:hanging="960" w:hangingChars="300"/>
        <w:rPr>
          <w:rFonts w:hint="eastAsia" w:ascii="仿宋_GB2312" w:eastAsia="仿宋_GB2312"/>
          <w:bCs/>
          <w:sz w:val="32"/>
          <w:szCs w:val="32"/>
          <w:highlight w:val="none"/>
        </w:rPr>
      </w:pPr>
      <w:r>
        <w:rPr>
          <w:rFonts w:hint="eastAsia" w:ascii="仿宋_GB2312" w:eastAsia="仿宋_GB2312"/>
          <w:bCs/>
          <w:sz w:val="32"/>
          <w:szCs w:val="32"/>
          <w:highlight w:val="none"/>
        </w:rPr>
        <w:t>表7：财政拨款“三公”经费、会议费和培训费支出情况表</w:t>
      </w:r>
    </w:p>
    <w:p w14:paraId="37FC150C">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表8：政府性基金预算支出情况表</w:t>
      </w:r>
    </w:p>
    <w:p w14:paraId="1BFFD1C1">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表9：国有资本经营预算支出情况表</w:t>
      </w:r>
    </w:p>
    <w:p w14:paraId="5178C5EC">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表1</w:t>
      </w:r>
      <w:r>
        <w:rPr>
          <w:rFonts w:hint="eastAsia" w:ascii="仿宋_GB2312" w:eastAsia="仿宋_GB2312"/>
          <w:bCs/>
          <w:sz w:val="32"/>
          <w:szCs w:val="32"/>
          <w:highlight w:val="none"/>
          <w:lang w:val="en-US" w:eastAsia="zh-CN"/>
        </w:rPr>
        <w:t>0</w:t>
      </w:r>
      <w:r>
        <w:rPr>
          <w:rFonts w:hint="eastAsia" w:ascii="仿宋_GB2312" w:eastAsia="仿宋_GB2312"/>
          <w:bCs/>
          <w:sz w:val="32"/>
          <w:szCs w:val="32"/>
          <w:highlight w:val="none"/>
        </w:rPr>
        <w:t>：政府采购预算表</w:t>
      </w:r>
    </w:p>
    <w:p w14:paraId="6D540D95">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表1</w:t>
      </w:r>
      <w:r>
        <w:rPr>
          <w:rFonts w:hint="eastAsia" w:ascii="仿宋_GB2312" w:eastAsia="仿宋_GB2312"/>
          <w:bCs/>
          <w:sz w:val="32"/>
          <w:szCs w:val="32"/>
          <w:highlight w:val="none"/>
          <w:lang w:val="en-US" w:eastAsia="zh-CN"/>
        </w:rPr>
        <w:t>1</w:t>
      </w:r>
      <w:r>
        <w:rPr>
          <w:rFonts w:hint="eastAsia" w:ascii="仿宋_GB2312" w:eastAsia="仿宋_GB2312"/>
          <w:bCs/>
          <w:sz w:val="32"/>
          <w:szCs w:val="32"/>
          <w:highlight w:val="none"/>
        </w:rPr>
        <w:t>：政府购买服务预算表</w:t>
      </w:r>
    </w:p>
    <w:p w14:paraId="0443EB7B">
      <w:pPr>
        <w:spacing w:before="312" w:beforeLines="100" w:after="312" w:afterLines="100" w:line="360" w:lineRule="exact"/>
        <w:ind w:firstLine="640" w:firstLineChars="200"/>
        <w:rPr>
          <w:rFonts w:hint="eastAsia" w:ascii="仿宋_GB2312" w:eastAsia="仿宋_GB2312"/>
          <w:bCs/>
          <w:sz w:val="32"/>
          <w:szCs w:val="32"/>
          <w:highlight w:val="none"/>
          <w:lang w:eastAsia="zh-CN"/>
        </w:rPr>
      </w:pPr>
      <w:r>
        <w:rPr>
          <w:rFonts w:hint="eastAsia" w:ascii="仿宋_GB2312"/>
          <w:bCs/>
          <w:sz w:val="32"/>
          <w:szCs w:val="32"/>
          <w:highlight w:val="none"/>
          <w:lang w:eastAsia="zh-CN"/>
        </w:rPr>
        <w:t>表</w:t>
      </w:r>
      <w:r>
        <w:rPr>
          <w:rFonts w:hint="eastAsia" w:ascii="仿宋_GB2312"/>
          <w:bCs/>
          <w:sz w:val="32"/>
          <w:szCs w:val="32"/>
          <w:highlight w:val="none"/>
          <w:lang w:val="en-US" w:eastAsia="zh-CN"/>
        </w:rPr>
        <w:t>12：</w:t>
      </w:r>
      <w:r>
        <w:rPr>
          <w:rFonts w:hint="eastAsia" w:ascii="仿宋_GB2312" w:eastAsia="仿宋_GB2312"/>
          <w:bCs/>
          <w:sz w:val="32"/>
          <w:szCs w:val="32"/>
          <w:highlight w:val="none"/>
          <w:lang w:eastAsia="zh-CN"/>
        </w:rPr>
        <w:t>项目绩效目标公开表</w:t>
      </w:r>
    </w:p>
    <w:p w14:paraId="4844ABF0">
      <w:pPr>
        <w:spacing w:before="312" w:beforeLines="100" w:after="312" w:afterLines="100" w:line="360" w:lineRule="exact"/>
        <w:ind w:firstLine="640" w:firstLineChars="200"/>
        <w:rPr>
          <w:rFonts w:hint="default" w:ascii="仿宋_GB2312" w:hAnsi="宋体" w:eastAsia="仿宋_GB2312"/>
          <w:bCs/>
          <w:sz w:val="44"/>
          <w:szCs w:val="44"/>
          <w:highlight w:val="none"/>
          <w:lang w:val="en-US"/>
        </w:rPr>
      </w:pPr>
      <w:r>
        <w:rPr>
          <w:rFonts w:hint="eastAsia" w:ascii="仿宋_GB2312" w:eastAsia="仿宋_GB2312"/>
          <w:bCs/>
          <w:sz w:val="32"/>
          <w:szCs w:val="32"/>
          <w:highlight w:val="none"/>
          <w:lang w:eastAsia="zh-CN"/>
        </w:rPr>
        <w:t>（详见附表</w:t>
      </w:r>
      <w:r>
        <w:rPr>
          <w:rFonts w:hint="eastAsia" w:ascii="仿宋_GB2312"/>
          <w:bCs/>
          <w:sz w:val="32"/>
          <w:szCs w:val="32"/>
          <w:highlight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411F6"/>
    <w:multiLevelType w:val="singleLevel"/>
    <w:tmpl w:val="5F6411F6"/>
    <w:lvl w:ilvl="0" w:tentative="0">
      <w:start w:val="1"/>
      <w:numFmt w:val="chineseCounting"/>
      <w:suff w:val="nothing"/>
      <w:lvlText w:val="（%1）"/>
      <w:lvlJc w:val="left"/>
      <w:pPr>
        <w:ind w:left="-3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83F87"/>
    <w:rsid w:val="03541CED"/>
    <w:rsid w:val="04AA2E15"/>
    <w:rsid w:val="072A65C1"/>
    <w:rsid w:val="07C63517"/>
    <w:rsid w:val="08000298"/>
    <w:rsid w:val="13934A81"/>
    <w:rsid w:val="15DD7808"/>
    <w:rsid w:val="18484AA8"/>
    <w:rsid w:val="1A4E5290"/>
    <w:rsid w:val="206D3C0F"/>
    <w:rsid w:val="21690C6D"/>
    <w:rsid w:val="2231243E"/>
    <w:rsid w:val="24E72071"/>
    <w:rsid w:val="251F14F7"/>
    <w:rsid w:val="25F268FA"/>
    <w:rsid w:val="2CE619C1"/>
    <w:rsid w:val="2DE122F0"/>
    <w:rsid w:val="2F0E7201"/>
    <w:rsid w:val="313847F0"/>
    <w:rsid w:val="36190BE4"/>
    <w:rsid w:val="37CC0950"/>
    <w:rsid w:val="392A132F"/>
    <w:rsid w:val="3A075245"/>
    <w:rsid w:val="405B7873"/>
    <w:rsid w:val="46A42944"/>
    <w:rsid w:val="4A317669"/>
    <w:rsid w:val="4AD55B01"/>
    <w:rsid w:val="4E3B534E"/>
    <w:rsid w:val="4EEF009D"/>
    <w:rsid w:val="4F886774"/>
    <w:rsid w:val="529E1C09"/>
    <w:rsid w:val="556D100F"/>
    <w:rsid w:val="56B85264"/>
    <w:rsid w:val="5B763A26"/>
    <w:rsid w:val="5FB05672"/>
    <w:rsid w:val="5FFD5D7D"/>
    <w:rsid w:val="61790893"/>
    <w:rsid w:val="645307E1"/>
    <w:rsid w:val="6A3E1DEA"/>
    <w:rsid w:val="6DAE2E3A"/>
    <w:rsid w:val="7055614C"/>
    <w:rsid w:val="717B788E"/>
    <w:rsid w:val="755A2BAE"/>
    <w:rsid w:val="779435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2"/>
    <w:next w:val="8"/>
    <w:qFormat/>
    <w:uiPriority w:val="0"/>
    <w:pPr>
      <w:ind w:firstLine="420" w:firstLineChars="100"/>
    </w:pPr>
    <w:rPr>
      <w:rFonts w:ascii="Times New Roman" w:hAnsi="Times New Roman" w:eastAsia="宋体" w:cs="Times New Roman"/>
    </w:rPr>
  </w:style>
  <w:style w:type="paragraph" w:styleId="8">
    <w:name w:val="Body Text First Indent 2"/>
    <w:basedOn w:val="3"/>
    <w:next w:val="7"/>
    <w:qFormat/>
    <w:uiPriority w:val="0"/>
    <w:pPr>
      <w:ind w:firstLine="420" w:firstLineChars="200"/>
    </w:pPr>
    <w:rPr>
      <w:rFonts w:ascii="Calibri" w:hAnsi="Calibri" w:eastAsia="仿宋_GB2312" w:cs="Times New Roman"/>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5231</Words>
  <Characters>5413</Characters>
  <Lines>0</Lines>
  <Paragraphs>0</Paragraphs>
  <TotalTime>6</TotalTime>
  <ScaleCrop>false</ScaleCrop>
  <LinksUpToDate>false</LinksUpToDate>
  <CharactersWithSpaces>5455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2024-01-29T08:27:00Z</dcterms:created>
  <dc:creator>Administrator</dc:creator>
  <cp:lastModifiedBy>Administrator</cp:lastModifiedBy>
  <dcterms:modified xsi:type="dcterms:W3CDTF">2025-02-10T01:51:58Z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eyJoZGlkIjoiOTQ3MGM2ZmQ3MzExYjJmZTNlNjQzNTc2YTUxNzM5MDEifQ==</vt:lpwstr>
  </property>
  <property fmtid="{D5CDD505-2E9C-101B-9397-08002B2CF9AE}" pid="4" name="ICV">
    <vt:lpwstr>E723BE59CE2C4E01A4D68AF4D8692EE9_13</vt:lpwstr>
  </property>
</Properties>
</file>