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94A4">
      <w:pPr>
        <w:spacing w:line="540" w:lineRule="exact"/>
        <w:ind w:firstLine="0" w:firstLineChars="0"/>
        <w:rPr>
          <w:rFonts w:hint="eastAsia" w:ascii="Times New Roman" w:hAnsi="Times New Roman" w:eastAsia="仿宋_GB2312" w:cs="Times New Roman"/>
          <w:color w:val="auto"/>
          <w:szCs w:val="32"/>
          <w:lang w:val="en-US" w:eastAsia="zh-CN"/>
        </w:rPr>
      </w:pPr>
      <w:r>
        <w:rPr>
          <w:rFonts w:hint="eastAsia" w:ascii="Times New Roman" w:hAnsi="Times New Roman" w:cs="Times New Roman"/>
          <w:color w:val="auto"/>
          <w:szCs w:val="32"/>
        </w:rPr>
        <w:t>附件</w:t>
      </w:r>
    </w:p>
    <w:p w14:paraId="55DB21D1">
      <w:pPr>
        <w:ind w:firstLine="0" w:firstLineChars="0"/>
        <w:jc w:val="center"/>
        <w:rPr>
          <w:rFonts w:ascii="方正小标宋简体" w:hAnsi="方正小标宋简体" w:eastAsia="方正小标宋简体" w:cs="方正小标宋简体"/>
          <w:color w:val="auto"/>
          <w:spacing w:val="-20"/>
          <w:sz w:val="44"/>
          <w:szCs w:val="44"/>
        </w:rPr>
      </w:pPr>
    </w:p>
    <w:p w14:paraId="6E908772">
      <w:pPr>
        <w:ind w:firstLine="0" w:firstLineChars="0"/>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柳州市柳江区分布式光伏</w:t>
      </w:r>
    </w:p>
    <w:p w14:paraId="050AE946">
      <w:pPr>
        <w:ind w:firstLine="0" w:firstLineChars="0"/>
        <w:jc w:val="center"/>
        <w:rPr>
          <w:rFonts w:ascii="方正小标宋简体" w:hAnsi="方正小标宋简体" w:eastAsia="方正小标宋简体" w:cs="方正小标宋简体"/>
          <w:color w:val="auto"/>
          <w:spacing w:val="20"/>
          <w:kern w:val="0"/>
          <w:sz w:val="44"/>
          <w:szCs w:val="44"/>
          <w:shd w:val="clear" w:color="auto" w:fill="FFFFFF"/>
        </w:rPr>
      </w:pPr>
      <w:r>
        <w:rPr>
          <w:rFonts w:hint="eastAsia" w:ascii="方正小标宋简体" w:hAnsi="方正小标宋简体" w:eastAsia="方正小标宋简体" w:cs="方正小标宋简体"/>
          <w:color w:val="auto"/>
          <w:spacing w:val="20"/>
          <w:sz w:val="44"/>
          <w:szCs w:val="44"/>
        </w:rPr>
        <w:t>发电项目建设安全</w:t>
      </w:r>
      <w:r>
        <w:rPr>
          <w:rFonts w:hint="eastAsia" w:ascii="方正小标宋简体" w:hAnsi="方正小标宋简体" w:eastAsia="方正小标宋简体" w:cs="方正小标宋简体"/>
          <w:color w:val="auto"/>
          <w:spacing w:val="20"/>
          <w:kern w:val="0"/>
          <w:sz w:val="44"/>
          <w:szCs w:val="44"/>
          <w:shd w:val="clear" w:color="auto" w:fill="FFFFFF"/>
        </w:rPr>
        <w:t>管理暂行办法</w:t>
      </w:r>
    </w:p>
    <w:p w14:paraId="056E83C8">
      <w:pPr>
        <w:ind w:firstLine="0" w:firstLineChars="0"/>
        <w:jc w:val="center"/>
        <w:rPr>
          <w:rFonts w:ascii="Times New Roman" w:hAnsi="Times New Roman" w:cs="Times New Roman"/>
          <w:color w:val="auto"/>
          <w:szCs w:val="32"/>
        </w:rPr>
      </w:pPr>
      <w:r>
        <w:rPr>
          <w:rFonts w:hint="eastAsia" w:ascii="Times New Roman" w:hAnsi="Times New Roman" w:cs="Times New Roman"/>
          <w:color w:val="auto"/>
          <w:szCs w:val="32"/>
        </w:rPr>
        <w:t>（</w:t>
      </w:r>
      <w:r>
        <w:rPr>
          <w:rFonts w:hint="eastAsia" w:ascii="Times New Roman" w:hAnsi="Times New Roman" w:cs="Times New Roman"/>
          <w:color w:val="auto"/>
          <w:szCs w:val="32"/>
          <w:lang w:val="en-US" w:eastAsia="zh-CN"/>
        </w:rPr>
        <w:t>征求意见稿</w:t>
      </w:r>
      <w:r>
        <w:rPr>
          <w:rFonts w:hint="eastAsia" w:ascii="Times New Roman" w:hAnsi="Times New Roman" w:cs="Times New Roman"/>
          <w:color w:val="auto"/>
          <w:szCs w:val="32"/>
        </w:rPr>
        <w:t>）</w:t>
      </w:r>
    </w:p>
    <w:p w14:paraId="6BDDC433">
      <w:pPr>
        <w:pStyle w:val="7"/>
        <w:widowControl/>
        <w:ind w:firstLine="0" w:firstLineChars="0"/>
        <w:rPr>
          <w:rFonts w:hint="default" w:ascii="Times New Roman" w:hAnsi="Times New Roman" w:eastAsia="SWFIRC + 浠垮畫_GB2312"/>
          <w:color w:val="auto"/>
          <w:sz w:val="31"/>
          <w:szCs w:val="31"/>
        </w:rPr>
      </w:pPr>
    </w:p>
    <w:p w14:paraId="708F9FF0">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大力推进分布式光伏建设，是</w:t>
      </w:r>
      <w:r>
        <w:rPr>
          <w:rFonts w:ascii="Times New Roman" w:hAnsi="Times New Roman" w:eastAsia="仿宋_GB2312"/>
          <w:color w:val="auto"/>
          <w:sz w:val="32"/>
          <w:szCs w:val="32"/>
        </w:rPr>
        <w:t>贯彻落实</w:t>
      </w:r>
      <w:r>
        <w:rPr>
          <w:rFonts w:hint="default" w:ascii="Times New Roman" w:hAnsi="Times New Roman" w:eastAsia="仿宋_GB2312"/>
          <w:color w:val="auto"/>
          <w:sz w:val="32"/>
          <w:szCs w:val="32"/>
        </w:rPr>
        <w:t>“碳达峰、碳中和”</w:t>
      </w:r>
      <w:r>
        <w:rPr>
          <w:rFonts w:ascii="Times New Roman" w:hAnsi="Times New Roman" w:eastAsia="仿宋_GB2312"/>
          <w:color w:val="auto"/>
          <w:sz w:val="32"/>
          <w:szCs w:val="32"/>
        </w:rPr>
        <w:t>工作部署</w:t>
      </w:r>
      <w:r>
        <w:rPr>
          <w:rFonts w:hint="default" w:ascii="Times New Roman" w:hAnsi="Times New Roman" w:eastAsia="仿宋_GB2312"/>
          <w:color w:val="auto"/>
          <w:sz w:val="32"/>
          <w:szCs w:val="32"/>
        </w:rPr>
        <w:t>、构建新型电力系统、引导绿色能源消费的重要举措。为进一步规范全区分布式光伏发电项目管理工作，全面消除安全隐患、切实维护群众利益，促进分布式光伏发电项目健康有序高质量发展，依据《中华人民共和国安全生产法》《国家能源局关于印发分布式光伏发电项目管理暂行办法》，以及《光伏发电站施工规范》《光伏发电站设计规范》等文件精神，结合柳江实际，特制定本办法。</w:t>
      </w:r>
    </w:p>
    <w:p w14:paraId="77B5339A">
      <w:pPr>
        <w:ind w:firstLine="640"/>
        <w:rPr>
          <w:rFonts w:ascii="Times New Roman" w:hAnsi="Times New Roman" w:eastAsia="黑体" w:cs="Times New Roman"/>
          <w:color w:val="auto"/>
          <w:szCs w:val="32"/>
        </w:rPr>
      </w:pPr>
      <w:r>
        <w:rPr>
          <w:rFonts w:ascii="Times New Roman" w:hAnsi="Times New Roman" w:eastAsia="黑体" w:cs="Times New Roman"/>
          <w:color w:val="auto"/>
          <w:szCs w:val="32"/>
        </w:rPr>
        <w:t>一、规范管理对象</w:t>
      </w:r>
    </w:p>
    <w:p w14:paraId="69476448">
      <w:pPr>
        <w:pStyle w:val="7"/>
        <w:widowControl/>
        <w:ind w:firstLine="640"/>
        <w:rPr>
          <w:rFonts w:hint="default" w:ascii="Times New Roman" w:hAnsi="Times New Roman" w:eastAsia="仿宋_GB2312"/>
          <w:color w:val="auto"/>
          <w:sz w:val="32"/>
          <w:szCs w:val="32"/>
        </w:rPr>
      </w:pPr>
      <w:r>
        <w:rPr>
          <w:rFonts w:ascii="Times New Roman" w:hAnsi="Times New Roman" w:eastAsia="仿宋_GB2312"/>
          <w:color w:val="auto"/>
          <w:sz w:val="32"/>
          <w:szCs w:val="32"/>
        </w:rPr>
        <w:t>柳江辖区内的</w:t>
      </w:r>
      <w:r>
        <w:rPr>
          <w:rFonts w:hint="default" w:ascii="Times New Roman" w:hAnsi="Times New Roman" w:eastAsia="仿宋_GB2312"/>
          <w:color w:val="auto"/>
          <w:sz w:val="32"/>
          <w:szCs w:val="32"/>
        </w:rPr>
        <w:t>分布式光伏发电项目包括户用屋顶（墙面，下同）分布式光伏发电项目，工商业、公共机构屋顶分布式光伏发电项目，设施农业大棚棚顶分布式光伏发电项目，停车站场棚顶分布式光伏发电项目等。分布式光伏发电项目分为自然人和非自然人投资建设两类。其中，居民（农户）在自有屋顶自筹资金投资建设的分布式光伏发电项目为自然人项目；投资主体租赁居民（农户）屋顶、工商业屋顶、公共机构屋顶、设施农业大棚棚顶、停车站场棚顶等方式投资建设的分布式光伏发电项目，以及非居民（农户）的投资主体在自有合法建筑物及设施上自筹资金投资建设的分布式光伏发电项目为非自然人项目。</w:t>
      </w:r>
    </w:p>
    <w:p w14:paraId="339A43FD">
      <w:pPr>
        <w:pStyle w:val="7"/>
        <w:widowControl/>
        <w:ind w:firstLine="640"/>
        <w:rPr>
          <w:rFonts w:hint="default" w:ascii="Times New Roman" w:hAnsi="Times New Roman" w:eastAsia="黑体"/>
          <w:color w:val="auto"/>
          <w:sz w:val="32"/>
          <w:szCs w:val="32"/>
        </w:rPr>
      </w:pPr>
      <w:r>
        <w:rPr>
          <w:rFonts w:hint="default" w:ascii="Times New Roman" w:hAnsi="Times New Roman" w:eastAsia="黑体"/>
          <w:color w:val="auto"/>
          <w:sz w:val="32"/>
          <w:szCs w:val="32"/>
        </w:rPr>
        <w:t>二、规范备案管理</w:t>
      </w:r>
    </w:p>
    <w:p w14:paraId="3B173862">
      <w:pPr>
        <w:ind w:firstLine="640"/>
        <w:rPr>
          <w:color w:val="auto"/>
        </w:rPr>
      </w:pPr>
      <w:r>
        <w:rPr>
          <w:color w:val="auto"/>
        </w:rPr>
        <w:t>分布式光伏发电项目实行备案制管理，项目备案工作应根据分布式光伏发电项目特点尽可能简化程序，免除发电业务许可、规划选址、</w:t>
      </w:r>
      <w:r>
        <w:rPr>
          <w:color w:val="auto"/>
        </w:rPr>
        <w:fldChar w:fldCharType="begin"/>
      </w:r>
      <w:r>
        <w:rPr>
          <w:color w:val="auto"/>
        </w:rPr>
        <w:instrText xml:space="preserve"> HYPERLINK "https://baike.so.com/doc/6784442-7001045.html" \t "https://baike.so.com/doc/_blank" </w:instrText>
      </w:r>
      <w:r>
        <w:rPr>
          <w:color w:val="auto"/>
        </w:rPr>
        <w:fldChar w:fldCharType="separate"/>
      </w:r>
      <w:r>
        <w:rPr>
          <w:color w:val="auto"/>
        </w:rPr>
        <w:t>土地预审</w:t>
      </w:r>
      <w:r>
        <w:rPr>
          <w:color w:val="auto"/>
        </w:rPr>
        <w:fldChar w:fldCharType="end"/>
      </w:r>
      <w:r>
        <w:rPr>
          <w:color w:val="auto"/>
        </w:rPr>
        <w:t>、水土保持、</w:t>
      </w:r>
      <w:r>
        <w:rPr>
          <w:color w:val="auto"/>
        </w:rPr>
        <w:fldChar w:fldCharType="begin"/>
      </w:r>
      <w:r>
        <w:rPr>
          <w:color w:val="auto"/>
        </w:rPr>
        <w:instrText xml:space="preserve"> HYPERLINK "https://baike.so.com/doc/6780604-6996862.html" \t "https://baike.so.com/doc/_blank" </w:instrText>
      </w:r>
      <w:r>
        <w:rPr>
          <w:color w:val="auto"/>
        </w:rPr>
        <w:fldChar w:fldCharType="separate"/>
      </w:r>
      <w:r>
        <w:rPr>
          <w:color w:val="auto"/>
        </w:rPr>
        <w:t>节能评估</w:t>
      </w:r>
      <w:r>
        <w:rPr>
          <w:color w:val="auto"/>
        </w:rPr>
        <w:fldChar w:fldCharType="end"/>
      </w:r>
      <w:r>
        <w:rPr>
          <w:color w:val="auto"/>
        </w:rPr>
        <w:t>及社会</w:t>
      </w:r>
      <w:r>
        <w:rPr>
          <w:color w:val="auto"/>
        </w:rPr>
        <w:fldChar w:fldCharType="begin"/>
      </w:r>
      <w:r>
        <w:rPr>
          <w:color w:val="auto"/>
        </w:rPr>
        <w:instrText xml:space="preserve"> HYPERLINK "https://baike.so.com/doc/4096194-4295120.html" \t "https://baike.so.com/doc/_blank" </w:instrText>
      </w:r>
      <w:r>
        <w:rPr>
          <w:color w:val="auto"/>
        </w:rPr>
        <w:fldChar w:fldCharType="separate"/>
      </w:r>
      <w:r>
        <w:rPr>
          <w:color w:val="auto"/>
        </w:rPr>
        <w:t>风险评估</w:t>
      </w:r>
      <w:r>
        <w:rPr>
          <w:color w:val="auto"/>
        </w:rPr>
        <w:fldChar w:fldCharType="end"/>
      </w:r>
      <w:r>
        <w:rPr>
          <w:color w:val="auto"/>
        </w:rPr>
        <w:t>等支持性文件。自然人项目由柳江供电局做好代备案工作，非自然人项目由投资主体在广西投资项目在线审批监管平台进行项目备案。投资主体依法如实填报项目信息，并对项目备案信息的真实性负责。区发展改革局应当审查项目信息的完整性，审查通过即为已备案成功；投资主体填报信息不齐全的，区发展改革局及时指导投资主体补正。</w:t>
      </w:r>
    </w:p>
    <w:p w14:paraId="25FCD201">
      <w:pPr>
        <w:pStyle w:val="7"/>
        <w:widowControl/>
        <w:ind w:firstLine="640"/>
        <w:rPr>
          <w:rFonts w:hint="default" w:ascii="Times New Roman" w:hAnsi="Times New Roman" w:eastAsia="黑体"/>
          <w:color w:val="auto"/>
          <w:sz w:val="32"/>
          <w:szCs w:val="32"/>
        </w:rPr>
      </w:pPr>
      <w:r>
        <w:rPr>
          <w:rFonts w:hint="default" w:ascii="Times New Roman" w:hAnsi="Times New Roman" w:eastAsia="黑体"/>
          <w:color w:val="auto"/>
          <w:sz w:val="32"/>
          <w:szCs w:val="32"/>
        </w:rPr>
        <w:t>三、规范建设管理</w:t>
      </w:r>
    </w:p>
    <w:p w14:paraId="0C218C03">
      <w:pPr>
        <w:pStyle w:val="7"/>
        <w:widowControl/>
        <w:ind w:firstLine="64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（一）选址条件管理</w:t>
      </w:r>
    </w:p>
    <w:p w14:paraId="78AE2A9A">
      <w:pPr>
        <w:pStyle w:val="7"/>
        <w:widowControl/>
        <w:ind w:firstLine="640"/>
        <w:jc w:val="both"/>
        <w:rPr>
          <w:rFonts w:hint="eastAsia" w:ascii="Times New Roman" w:hAnsi="Times New Roman" w:eastAsia="仿宋_GB2312"/>
          <w:color w:val="auto"/>
          <w:sz w:val="32"/>
          <w:szCs w:val="32"/>
          <w:lang w:eastAsia="zh-CN"/>
        </w:rPr>
      </w:pPr>
      <w:r>
        <w:rPr>
          <w:rFonts w:hint="default" w:ascii="Times New Roman" w:hAnsi="Times New Roman" w:eastAsia="仿宋_GB2312"/>
          <w:color w:val="auto"/>
          <w:sz w:val="32"/>
          <w:szCs w:val="32"/>
        </w:rPr>
        <w:t>1. 项目选址应遵守《中华人民共和国城乡规划法》，符合国土空间总体规划、控制性详细规划、村庄规划，满足机场净空保护要求，并与周边建筑物、景观相协调。项目投资方在办理设施农用地建设农业大棚</w:t>
      </w:r>
      <w:r>
        <w:rPr>
          <w:rFonts w:hint="eastAsia" w:ascii="Times New Roman" w:hAnsi="Times New Roman" w:eastAsia="仿宋_GB2312"/>
          <w:color w:val="auto"/>
          <w:sz w:val="32"/>
          <w:szCs w:val="32"/>
          <w:lang w:val="en-US" w:eastAsia="zh-CN"/>
        </w:rPr>
        <w:t>用于</w:t>
      </w:r>
      <w:r>
        <w:rPr>
          <w:rFonts w:hint="default" w:ascii="Times New Roman" w:hAnsi="Times New Roman" w:eastAsia="仿宋_GB2312"/>
          <w:color w:val="auto"/>
          <w:sz w:val="32"/>
          <w:szCs w:val="32"/>
        </w:rPr>
        <w:t>配建分布式光伏发电项目前，必须先办理设施农用地备案相关手续，</w:t>
      </w:r>
      <w:r>
        <w:rPr>
          <w:rFonts w:hint="eastAsia" w:ascii="Times New Roman" w:hAnsi="Times New Roman" w:eastAsia="仿宋_GB2312"/>
          <w:color w:val="auto"/>
          <w:sz w:val="32"/>
          <w:szCs w:val="32"/>
          <w:lang w:val="en-US" w:eastAsia="zh-CN"/>
        </w:rPr>
        <w:t>相关手续办理完成后方可</w:t>
      </w:r>
      <w:r>
        <w:rPr>
          <w:rFonts w:hint="default" w:ascii="Times New Roman" w:hAnsi="Times New Roman" w:eastAsia="仿宋_GB2312"/>
          <w:color w:val="auto"/>
          <w:sz w:val="32"/>
          <w:szCs w:val="32"/>
        </w:rPr>
        <w:t>建设农业大棚，在农业大棚建成并按设施农业用地用途使用，且在最新年度国土变更调查成果中地类为设施农用地后方可配建分布式光伏发电</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lang w:eastAsia="zh-CN"/>
        </w:rPr>
        <w:t>。</w:t>
      </w:r>
    </w:p>
    <w:p w14:paraId="4ED719B2">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严格控制在柳江主城区住宅小区建设光伏发电项目；传统村落、旅游风景区、文物保护区、国省道和城市干道、铁路、高速</w:t>
      </w:r>
      <w:r>
        <w:rPr>
          <w:rFonts w:ascii="Times New Roman" w:hAnsi="Times New Roman" w:eastAsia="仿宋_GB2312"/>
          <w:color w:val="auto"/>
          <w:sz w:val="32"/>
          <w:szCs w:val="32"/>
        </w:rPr>
        <w:t>公路</w:t>
      </w:r>
      <w:r>
        <w:rPr>
          <w:rFonts w:ascii="仿宋_GB2312" w:hAnsi="仿宋_GB2312" w:eastAsia="仿宋_GB2312" w:cs="仿宋_GB2312"/>
          <w:color w:val="auto"/>
          <w:sz w:val="32"/>
          <w:szCs w:val="32"/>
        </w:rPr>
        <w:t>、飞机场</w:t>
      </w:r>
      <w:r>
        <w:rPr>
          <w:rFonts w:hint="default" w:ascii="Times New Roman" w:hAnsi="Times New Roman" w:eastAsia="仿宋_GB2312"/>
          <w:color w:val="auto"/>
          <w:sz w:val="32"/>
          <w:szCs w:val="32"/>
        </w:rPr>
        <w:t>等范围内建设光伏发电项目，具体控制范围由</w:t>
      </w:r>
      <w:r>
        <w:rPr>
          <w:rFonts w:ascii="Times New Roman" w:hAnsi="Times New Roman" w:eastAsia="仿宋_GB2312"/>
          <w:color w:val="auto"/>
          <w:sz w:val="32"/>
          <w:szCs w:val="32"/>
        </w:rPr>
        <w:t>有关行业主管部门依法</w:t>
      </w:r>
      <w:r>
        <w:rPr>
          <w:rFonts w:hint="default" w:ascii="Times New Roman" w:hAnsi="Times New Roman" w:eastAsia="仿宋_GB2312"/>
          <w:color w:val="auto"/>
          <w:sz w:val="32"/>
          <w:szCs w:val="32"/>
        </w:rPr>
        <w:t>划定。</w:t>
      </w:r>
    </w:p>
    <w:p w14:paraId="6E0CF3A6">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 严禁以建设分布式光伏发电项目为由占用宅基地、公共空间以及各类零散用地资源。严禁以建设光伏发电项目为由，利用光伏板下方四周进行围合，在楼顶和平台违法搭建采光房、钢架棚、阁楼等违法建筑。</w:t>
      </w:r>
    </w:p>
    <w:p w14:paraId="6D19561E">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 根据国家能源局《关于印发分布式光伏发电项目管理暂行办法》第十六条、第十七条</w:t>
      </w:r>
      <w:r>
        <w:rPr>
          <w:rFonts w:ascii="Times New Roman" w:hAnsi="Times New Roman" w:eastAsia="仿宋_GB2312"/>
          <w:color w:val="auto"/>
          <w:sz w:val="32"/>
          <w:szCs w:val="32"/>
        </w:rPr>
        <w:t>之</w:t>
      </w:r>
      <w:r>
        <w:rPr>
          <w:rFonts w:hint="default" w:ascii="Times New Roman" w:hAnsi="Times New Roman" w:eastAsia="仿宋_GB2312"/>
          <w:color w:val="auto"/>
          <w:sz w:val="32"/>
          <w:szCs w:val="32"/>
        </w:rPr>
        <w:t>规定，分布式光伏发电项目所依托的建筑物及设施应具有合法性，利益相关人无异议，所依托的建筑物及设施应为业主所有。投资主体与分布式光伏发电项目所依托的建筑物及设施业主非同一主体时，投资主体应与业主签订建筑物及设施租赁协议。</w:t>
      </w:r>
    </w:p>
    <w:p w14:paraId="799CB240">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5. 分布式光伏发电项目接入点台区配变容量和电网线路应具备承载能力。根据国家《分布式电源接入电网承载力评估导则DL/T2041-2019》电网承载力等级划分：红色为电网反送潮流超过设备限额的80%，或电网运行安全存在风险，暂停新增分布式电源项目接入。投资主体应在确认项目前与当地供电部门沟通，了解</w:t>
      </w:r>
      <w:r>
        <w:rPr>
          <w:rFonts w:hint="default" w:ascii="Times New Roman" w:hAnsi="Times New Roman" w:eastAsia="仿宋_GB2312"/>
          <w:color w:val="auto"/>
          <w:sz w:val="32"/>
          <w:szCs w:val="32"/>
        </w:rPr>
        <w:t>供电线路承载能力</w:t>
      </w:r>
      <w:r>
        <w:rPr>
          <w:rFonts w:hint="default" w:ascii="Times New Roman" w:hAnsi="Times New Roman" w:eastAsia="仿宋_GB2312"/>
          <w:color w:val="auto"/>
          <w:sz w:val="32"/>
          <w:szCs w:val="32"/>
        </w:rPr>
        <w:t>和台区变压器容量，确定当地消纳情况，避免出现线路、公变受限导致无法及时并网情况。</w:t>
      </w:r>
    </w:p>
    <w:p w14:paraId="64F18FB0">
      <w:pPr>
        <w:pStyle w:val="7"/>
        <w:widowControl/>
        <w:ind w:firstLine="640"/>
        <w:jc w:val="both"/>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（二）项目</w:t>
      </w:r>
      <w:r>
        <w:rPr>
          <w:rFonts w:ascii="Times New Roman" w:hAnsi="Times New Roman" w:eastAsia="楷体_GB2312"/>
          <w:color w:val="auto"/>
          <w:sz w:val="32"/>
          <w:szCs w:val="32"/>
        </w:rPr>
        <w:t>材料</w:t>
      </w:r>
      <w:r>
        <w:rPr>
          <w:rFonts w:hint="default" w:ascii="Times New Roman" w:hAnsi="Times New Roman" w:eastAsia="楷体_GB2312"/>
          <w:color w:val="auto"/>
          <w:sz w:val="32"/>
          <w:szCs w:val="32"/>
        </w:rPr>
        <w:t>管理</w:t>
      </w:r>
    </w:p>
    <w:p w14:paraId="4AD006B7">
      <w:pPr>
        <w:pStyle w:val="7"/>
        <w:widowControl/>
        <w:ind w:firstLine="640"/>
        <w:jc w:val="both"/>
        <w:rPr>
          <w:rFonts w:hint="default"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分布式光伏发电项目采用的</w:t>
      </w:r>
      <w:r>
        <w:rPr>
          <w:color w:val="auto"/>
        </w:rPr>
        <w:fldChar w:fldCharType="begin"/>
      </w:r>
      <w:r>
        <w:rPr>
          <w:color w:val="auto"/>
        </w:rPr>
        <w:instrText xml:space="preserve"> HYPERLINK "https://baike.so.com/doc/106154-112076.html" \t "https://baike.so.com/doc/_blank" </w:instrText>
      </w:r>
      <w:r>
        <w:rPr>
          <w:color w:val="auto"/>
        </w:rPr>
        <w:fldChar w:fldCharType="separate"/>
      </w:r>
      <w:r>
        <w:rPr>
          <w:rStyle w:val="13"/>
          <w:rFonts w:ascii="仿宋_GB2312" w:hAnsi="仿宋_GB2312" w:eastAsia="仿宋_GB2312" w:cs="仿宋_GB2312"/>
          <w:color w:val="auto"/>
          <w:sz w:val="32"/>
          <w:szCs w:val="32"/>
          <w:u w:val="none"/>
          <w:shd w:val="clear" w:color="auto" w:fill="FFFFFF"/>
        </w:rPr>
        <w:t>光伏电池</w:t>
      </w:r>
      <w:r>
        <w:rPr>
          <w:rStyle w:val="13"/>
          <w:rFonts w:ascii="仿宋_GB2312" w:hAnsi="仿宋_GB2312" w:eastAsia="仿宋_GB2312" w:cs="仿宋_GB2312"/>
          <w:color w:val="auto"/>
          <w:sz w:val="32"/>
          <w:szCs w:val="32"/>
          <w:u w:val="none"/>
          <w:shd w:val="clear" w:color="auto" w:fill="FFFFFF"/>
        </w:rPr>
        <w:fldChar w:fldCharType="end"/>
      </w:r>
      <w:r>
        <w:rPr>
          <w:rFonts w:ascii="仿宋_GB2312" w:hAnsi="仿宋_GB2312" w:eastAsia="仿宋_GB2312" w:cs="仿宋_GB2312"/>
          <w:color w:val="auto"/>
          <w:sz w:val="32"/>
          <w:szCs w:val="32"/>
          <w:shd w:val="clear" w:color="auto" w:fill="FFFFFF"/>
        </w:rPr>
        <w:t>组件、</w:t>
      </w:r>
      <w:r>
        <w:rPr>
          <w:color w:val="auto"/>
        </w:rPr>
        <w:fldChar w:fldCharType="begin"/>
      </w:r>
      <w:r>
        <w:rPr>
          <w:color w:val="auto"/>
        </w:rPr>
        <w:instrText xml:space="preserve"> HYPERLINK "https://baike.so.com/doc/5721749-5934480.html" \t "https://baike.so.com/doc/_blank" </w:instrText>
      </w:r>
      <w:r>
        <w:rPr>
          <w:color w:val="auto"/>
        </w:rPr>
        <w:fldChar w:fldCharType="separate"/>
      </w:r>
      <w:r>
        <w:rPr>
          <w:rStyle w:val="13"/>
          <w:rFonts w:ascii="仿宋_GB2312" w:hAnsi="仿宋_GB2312" w:eastAsia="仿宋_GB2312" w:cs="仿宋_GB2312"/>
          <w:color w:val="auto"/>
          <w:sz w:val="32"/>
          <w:szCs w:val="32"/>
          <w:u w:val="none"/>
          <w:shd w:val="clear" w:color="auto" w:fill="FFFFFF"/>
        </w:rPr>
        <w:t>逆变器</w:t>
      </w:r>
      <w:r>
        <w:rPr>
          <w:rStyle w:val="13"/>
          <w:rFonts w:ascii="仿宋_GB2312" w:hAnsi="仿宋_GB2312" w:eastAsia="仿宋_GB2312" w:cs="仿宋_GB2312"/>
          <w:color w:val="auto"/>
          <w:sz w:val="32"/>
          <w:szCs w:val="32"/>
          <w:u w:val="none"/>
          <w:shd w:val="clear" w:color="auto" w:fill="FFFFFF"/>
        </w:rPr>
        <w:fldChar w:fldCharType="end"/>
      </w:r>
      <w:r>
        <w:rPr>
          <w:rFonts w:ascii="仿宋_GB2312" w:hAnsi="仿宋_GB2312" w:eastAsia="仿宋_GB2312" w:cs="仿宋_GB2312"/>
          <w:color w:val="auto"/>
          <w:sz w:val="32"/>
          <w:szCs w:val="32"/>
          <w:shd w:val="clear" w:color="auto" w:fill="FFFFFF"/>
        </w:rPr>
        <w:t>等设备应通过符合国家规定的认证认可机构的检测认证，符合相关接入电网的技术要求。</w:t>
      </w:r>
    </w:p>
    <w:p w14:paraId="370CB092">
      <w:pPr>
        <w:pStyle w:val="7"/>
        <w:widowControl/>
        <w:ind w:firstLine="640"/>
        <w:jc w:val="both"/>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w:t>
      </w:r>
      <w:r>
        <w:rPr>
          <w:rFonts w:ascii="Times New Roman" w:hAnsi="Times New Roman" w:eastAsia="楷体_GB2312"/>
          <w:color w:val="auto"/>
          <w:sz w:val="32"/>
          <w:szCs w:val="32"/>
        </w:rPr>
        <w:t>三</w:t>
      </w:r>
      <w:r>
        <w:rPr>
          <w:rFonts w:hint="default" w:ascii="Times New Roman" w:hAnsi="Times New Roman" w:eastAsia="楷体_GB2312"/>
          <w:color w:val="auto"/>
          <w:sz w:val="32"/>
          <w:szCs w:val="32"/>
        </w:rPr>
        <w:t>）项目安装管理</w:t>
      </w:r>
    </w:p>
    <w:p w14:paraId="771B5731">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 安全性要求</w:t>
      </w:r>
    </w:p>
    <w:p w14:paraId="0873D1B6">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w:t>
      </w:r>
      <w:r>
        <w:rPr>
          <w:rFonts w:ascii="Times New Roman" w:hAnsi="Times New Roman" w:eastAsia="仿宋_GB2312"/>
          <w:color w:val="auto"/>
          <w:sz w:val="32"/>
          <w:szCs w:val="32"/>
        </w:rPr>
        <w:t>项目</w:t>
      </w:r>
      <w:r>
        <w:rPr>
          <w:rFonts w:hint="default" w:ascii="Times New Roman" w:hAnsi="Times New Roman" w:eastAsia="仿宋_GB2312"/>
          <w:color w:val="auto"/>
          <w:sz w:val="32"/>
          <w:szCs w:val="32"/>
        </w:rPr>
        <w:t>应综合考虑防雷接地措施及接地电阻要求，接地电阻应符合防雷设计标准；</w:t>
      </w:r>
    </w:p>
    <w:p w14:paraId="7E473E8F">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w:t>
      </w:r>
      <w:r>
        <w:rPr>
          <w:rFonts w:ascii="Times New Roman" w:hAnsi="Times New Roman" w:eastAsia="仿宋_GB2312"/>
          <w:color w:val="auto"/>
          <w:sz w:val="32"/>
          <w:szCs w:val="32"/>
        </w:rPr>
        <w:t xml:space="preserve"> </w:t>
      </w:r>
      <w:r>
        <w:rPr>
          <w:rFonts w:hint="default" w:ascii="Times New Roman" w:hAnsi="Times New Roman" w:eastAsia="仿宋_GB2312"/>
          <w:color w:val="auto"/>
          <w:sz w:val="32"/>
          <w:szCs w:val="32"/>
        </w:rPr>
        <w:t>应进行房屋等级分类，鉴定项目可行性和结构安全性；</w:t>
      </w:r>
    </w:p>
    <w:p w14:paraId="69E16AE3">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（3）光伏发电系统的支架及其支撑件应具有足够的强度和刚度及抗腐蚀能力，并与主体结构有可靠的连接和锚固。</w:t>
      </w:r>
    </w:p>
    <w:p w14:paraId="76FF3F61">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（4）光伏发电系统安装位置不得妨碍他人通行、通风、采光，不得影响消防、环保等设备的正常使用、检修和安全检查。</w:t>
      </w:r>
    </w:p>
    <w:p w14:paraId="0DB1B8D6">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美观性要求</w:t>
      </w:r>
    </w:p>
    <w:p w14:paraId="31989B28">
      <w:pPr>
        <w:widowControl/>
        <w:ind w:firstLine="640"/>
        <w:rPr>
          <w:rFonts w:ascii="Times New Roman" w:hAnsi="Times New Roman" w:cs="Times New Roman"/>
          <w:color w:val="auto"/>
          <w:szCs w:val="32"/>
        </w:rPr>
      </w:pPr>
      <w:r>
        <w:rPr>
          <w:rFonts w:ascii="Times New Roman" w:hAnsi="Times New Roman" w:cs="Times New Roman"/>
          <w:color w:val="auto"/>
          <w:szCs w:val="32"/>
        </w:rPr>
        <w:t>分布式光伏发电项目不应降低相邻建筑物的建筑日照，光伏板前后不得超出建筑物及设施投影上空区域0.3米，光伏板两侧不得超出建筑物及设施投影上空区域；建筑物及设施为坡屋面结构时，光伏板应顺坡安装，组件安装不应超过该屋面最高点0.3米。</w:t>
      </w:r>
    </w:p>
    <w:p w14:paraId="261E99A0">
      <w:pPr>
        <w:widowControl/>
        <w:ind w:firstLine="640"/>
        <w:rPr>
          <w:rFonts w:ascii="Times New Roman" w:hAnsi="Times New Roman" w:cs="Times New Roman"/>
          <w:color w:val="auto"/>
          <w:szCs w:val="32"/>
        </w:rPr>
      </w:pPr>
      <w:r>
        <w:rPr>
          <w:rFonts w:ascii="Times New Roman" w:hAnsi="Times New Roman" w:cs="Times New Roman"/>
          <w:color w:val="auto"/>
          <w:szCs w:val="32"/>
        </w:rPr>
        <w:t>户用屋顶分布式光伏发电项目，当屋顶为平屋顶结构无突出楼梯间时，光伏板顶端不得超过屋面最高点 2.2米（含 2.2米）；当屋顶为平屋顶结构有突出楼梯间时，光伏板顶端不得超过楼梯间屋面最高点 1米（含 1米，且最高点应不高于顶层屋面 4米）；光伏板下方四周不得进行任何形式的围合，不得违反城乡规划管理的相关法律法规。</w:t>
      </w:r>
    </w:p>
    <w:p w14:paraId="00923FF9">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工商业、公共机构屋顶分布式光伏发电项目，当屋顶为平屋顶结构时，不管是否有突出楼梯间，光伏板顶端不得超过平屋顶屋面（非楼梯间屋面）最高点 2.2米（含 2.2米）。</w:t>
      </w:r>
    </w:p>
    <w:p w14:paraId="1E1F291E">
      <w:pPr>
        <w:pStyle w:val="7"/>
        <w:widowControl/>
        <w:numPr>
          <w:ilvl w:val="0"/>
          <w:numId w:val="1"/>
        </w:numPr>
        <w:ind w:left="640" w:leftChars="200" w:firstLine="320" w:firstLineChars="1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不宜安装或者应减少安装面积情况</w:t>
      </w:r>
    </w:p>
    <w:p w14:paraId="39B49BBE">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（1）屋面或周边存在大量粉尘、火灾危险性分类为甲类、乙类和腐蚀气体的建筑；</w:t>
      </w:r>
    </w:p>
    <w:p w14:paraId="59BFBF6F">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（2）砖混结构房屋的建筑使用寿命已经超过 25年，钢架、砖木结构房屋的建筑使用寿命已经超过 15年；</w:t>
      </w:r>
    </w:p>
    <w:p w14:paraId="7EE78D88">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（3）屋面（包括瓦片、瓦片承重结构、屋面平台）、棚顶（包括承重结构、瓦片）已经年久失修，存在结构等安全风险的建筑；</w:t>
      </w:r>
    </w:p>
    <w:p w14:paraId="38028F7D">
      <w:pPr>
        <w:pStyle w:val="7"/>
        <w:widowControl/>
        <w:ind w:firstLine="64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w:t>
      </w:r>
      <w:r>
        <w:rPr>
          <w:rFonts w:ascii="Times New Roman" w:hAnsi="Times New Roman" w:eastAsia="楷体_GB2312"/>
          <w:color w:val="auto"/>
          <w:sz w:val="32"/>
          <w:szCs w:val="32"/>
        </w:rPr>
        <w:t>四</w:t>
      </w:r>
      <w:r>
        <w:rPr>
          <w:rFonts w:hint="default" w:ascii="Times New Roman" w:hAnsi="Times New Roman" w:eastAsia="楷体_GB2312"/>
          <w:color w:val="auto"/>
          <w:sz w:val="32"/>
          <w:szCs w:val="32"/>
        </w:rPr>
        <w:t>）安装</w:t>
      </w:r>
      <w:r>
        <w:rPr>
          <w:rFonts w:ascii="Times New Roman" w:hAnsi="Times New Roman" w:eastAsia="楷体_GB2312"/>
          <w:color w:val="auto"/>
          <w:sz w:val="32"/>
          <w:szCs w:val="32"/>
        </w:rPr>
        <w:t>资质</w:t>
      </w:r>
      <w:r>
        <w:rPr>
          <w:rFonts w:hint="default" w:ascii="Times New Roman" w:hAnsi="Times New Roman" w:eastAsia="楷体_GB2312"/>
          <w:color w:val="auto"/>
          <w:sz w:val="32"/>
          <w:szCs w:val="32"/>
        </w:rPr>
        <w:t>管理</w:t>
      </w:r>
    </w:p>
    <w:p w14:paraId="0C89FACB">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 分布式光伏发电项目的安装施工，必须由投资主体委托具备施工资质的企业承担，并签订施工合同。</w:t>
      </w:r>
    </w:p>
    <w:p w14:paraId="7D2962B2">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承担分布式光伏发电项目安装施工的管理和施工人员，须为安装施工企业员工或劳务派遣人员。电焊、高空作业等特种作业施工人员须持证上岗。</w:t>
      </w:r>
    </w:p>
    <w:p w14:paraId="12C0FAF2">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 项目开工前，投资主体应将项目负责人，安装施工企业项目经理、管理人员、施工人员信息向区住房城乡建设局备案。</w:t>
      </w:r>
    </w:p>
    <w:p w14:paraId="5C44AB69">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5. 严禁投资主体委托无施工资质的企业、无特种作业证件个人承担安装施工业务。</w:t>
      </w:r>
    </w:p>
    <w:p w14:paraId="0A16E374">
      <w:pPr>
        <w:pStyle w:val="7"/>
        <w:widowControl/>
        <w:ind w:firstLine="64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w:t>
      </w:r>
      <w:r>
        <w:rPr>
          <w:rFonts w:ascii="Times New Roman" w:hAnsi="Times New Roman" w:eastAsia="楷体_GB2312"/>
          <w:color w:val="auto"/>
          <w:sz w:val="32"/>
          <w:szCs w:val="32"/>
        </w:rPr>
        <w:t>五</w:t>
      </w:r>
      <w:r>
        <w:rPr>
          <w:rFonts w:hint="default" w:ascii="Times New Roman" w:hAnsi="Times New Roman" w:eastAsia="楷体_GB2312"/>
          <w:color w:val="auto"/>
          <w:sz w:val="32"/>
          <w:szCs w:val="32"/>
        </w:rPr>
        <w:t>）安全施工管理</w:t>
      </w:r>
    </w:p>
    <w:p w14:paraId="4C73FA74">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1. 项目施工过程中应做好现场各阶段的安全防护措施，保持施工现场的清洁和道路畅通，配备足够灭火器等，确保消防措施落实。 </w:t>
      </w:r>
    </w:p>
    <w:p w14:paraId="41127BAA">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现场施工过程中应保障居民（农户）、业主和施工人员安全，项目施工过程中应符合如下要求:</w:t>
      </w:r>
    </w:p>
    <w:p w14:paraId="384ECB07">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（1）施工人员应佩戴保险绳、防滑鞋和安全帽；</w:t>
      </w:r>
    </w:p>
    <w:p w14:paraId="4D06C7FA">
      <w:pPr>
        <w:widowControl/>
        <w:ind w:firstLine="640"/>
        <w:rPr>
          <w:rFonts w:ascii="Times New Roman" w:hAnsi="Times New Roman" w:cs="Times New Roman"/>
          <w:color w:val="auto"/>
          <w:szCs w:val="32"/>
        </w:rPr>
      </w:pPr>
      <w:r>
        <w:rPr>
          <w:rFonts w:ascii="Times New Roman" w:hAnsi="Times New Roman" w:cs="Times New Roman"/>
          <w:color w:val="auto"/>
          <w:kern w:val="0"/>
          <w:szCs w:val="32"/>
        </w:rPr>
        <w:t>（2）施工人员严禁在雨雪、大风天气进行施工作业；</w:t>
      </w:r>
    </w:p>
    <w:p w14:paraId="3E7A2878">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（3）施工人员在酷暑天气施工应做好防暑措施；</w:t>
      </w:r>
    </w:p>
    <w:p w14:paraId="10102CE4">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（4）施工人员应严格按照设计方案进行施工；</w:t>
      </w:r>
    </w:p>
    <w:p w14:paraId="220E4FAA">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（5）施工区域应设立安全警戒，吊装区域应有专人警戒。</w:t>
      </w:r>
    </w:p>
    <w:p w14:paraId="07ADC529">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 在人员有可能接触或接近光伏发电系统的显要位置，应设置防触电警示标识。</w:t>
      </w:r>
    </w:p>
    <w:p w14:paraId="41F56F85">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 分布式光伏发电项目的安装施工，投资主体</w:t>
      </w:r>
      <w:r>
        <w:rPr>
          <w:rFonts w:ascii="Times New Roman" w:hAnsi="Times New Roman" w:eastAsia="仿宋_GB2312"/>
          <w:color w:val="auto"/>
          <w:sz w:val="32"/>
          <w:szCs w:val="32"/>
        </w:rPr>
        <w:t>要保障</w:t>
      </w:r>
      <w:r>
        <w:rPr>
          <w:rFonts w:hint="default" w:ascii="Times New Roman" w:hAnsi="Times New Roman" w:eastAsia="仿宋_GB2312"/>
          <w:color w:val="auto"/>
          <w:sz w:val="32"/>
          <w:szCs w:val="32"/>
        </w:rPr>
        <w:t>安全施工措施费用，安装施工企业对安全施工负主体责任。</w:t>
      </w:r>
    </w:p>
    <w:p w14:paraId="3F1F6628">
      <w:pPr>
        <w:ind w:firstLine="640"/>
        <w:rPr>
          <w:rFonts w:ascii="Times New Roman" w:hAnsi="Times New Roman" w:eastAsia="黑体" w:cs="Times New Roman"/>
          <w:color w:val="auto"/>
          <w:szCs w:val="32"/>
        </w:rPr>
      </w:pPr>
      <w:r>
        <w:rPr>
          <w:rFonts w:hint="eastAsia" w:ascii="Times New Roman" w:hAnsi="Times New Roman" w:eastAsia="黑体" w:cs="Times New Roman"/>
          <w:color w:val="auto"/>
          <w:szCs w:val="32"/>
        </w:rPr>
        <w:t>四</w:t>
      </w:r>
      <w:r>
        <w:rPr>
          <w:rFonts w:ascii="Times New Roman" w:hAnsi="Times New Roman" w:eastAsia="黑体" w:cs="Times New Roman"/>
          <w:color w:val="auto"/>
          <w:szCs w:val="32"/>
        </w:rPr>
        <w:t>、管理工作职责</w:t>
      </w:r>
    </w:p>
    <w:p w14:paraId="00077851">
      <w:pPr>
        <w:ind w:firstLine="640"/>
        <w:rPr>
          <w:rFonts w:ascii="楷体_GB2312" w:hAnsi="楷体_GB2312" w:eastAsia="楷体_GB2312" w:cs="楷体_GB2312"/>
          <w:color w:val="auto"/>
          <w:szCs w:val="32"/>
        </w:rPr>
      </w:pPr>
      <w:r>
        <w:rPr>
          <w:rFonts w:hint="eastAsia" w:ascii="楷体_GB2312" w:hAnsi="楷体_GB2312" w:eastAsia="楷体_GB2312" w:cs="楷体_GB2312"/>
          <w:color w:val="auto"/>
          <w:szCs w:val="32"/>
        </w:rPr>
        <w:t>（一）部门职责</w:t>
      </w:r>
    </w:p>
    <w:p w14:paraId="40EB2DAF">
      <w:pPr>
        <w:ind w:firstLine="640"/>
        <w:rPr>
          <w:rFonts w:ascii="Times New Roman" w:hAnsi="Times New Roman" w:cs="Times New Roman"/>
          <w:color w:val="auto"/>
          <w:szCs w:val="32"/>
        </w:rPr>
      </w:pPr>
      <w:r>
        <w:rPr>
          <w:rFonts w:ascii="Times New Roman" w:hAnsi="Times New Roman" w:cs="Times New Roman"/>
          <w:color w:val="auto"/>
          <w:szCs w:val="32"/>
        </w:rPr>
        <w:t>1. 区发展改革局：负责对分布式光伏发电项目进行行业监督管理和备案工作，对不诚信守法、弄虚作假的投资主体实施信用惩戒。</w:t>
      </w:r>
    </w:p>
    <w:p w14:paraId="65162E2F">
      <w:pPr>
        <w:ind w:firstLine="640"/>
        <w:rPr>
          <w:rFonts w:ascii="Times New Roman" w:hAnsi="Times New Roman" w:cs="Times New Roman"/>
          <w:color w:val="auto"/>
          <w:szCs w:val="32"/>
        </w:rPr>
      </w:pPr>
      <w:r>
        <w:rPr>
          <w:rFonts w:hint="eastAsia" w:ascii="Times New Roman" w:hAnsi="Times New Roman" w:cs="Times New Roman"/>
          <w:color w:val="auto"/>
          <w:szCs w:val="32"/>
        </w:rPr>
        <w:t>2</w:t>
      </w:r>
      <w:r>
        <w:rPr>
          <w:rFonts w:ascii="Times New Roman" w:hAnsi="Times New Roman" w:cs="Times New Roman"/>
          <w:color w:val="auto"/>
          <w:szCs w:val="32"/>
        </w:rPr>
        <w:t>. 区住房城乡建设局：负责指导投资主体对拟建分布式光伏发电项目开展房屋质量、结构安全鉴定工作；指导各镇督促投资主体、安装施工企业落实安全</w:t>
      </w:r>
      <w:r>
        <w:rPr>
          <w:rFonts w:hint="eastAsia" w:ascii="Times New Roman" w:hAnsi="Times New Roman" w:cs="Times New Roman"/>
          <w:color w:val="auto"/>
          <w:szCs w:val="32"/>
        </w:rPr>
        <w:t>责任</w:t>
      </w:r>
      <w:r>
        <w:rPr>
          <w:rFonts w:ascii="Times New Roman" w:hAnsi="Times New Roman" w:cs="Times New Roman"/>
          <w:color w:val="auto"/>
          <w:szCs w:val="32"/>
        </w:rPr>
        <w:t>要求。</w:t>
      </w:r>
    </w:p>
    <w:p w14:paraId="740A5D28">
      <w:pPr>
        <w:ind w:firstLine="640"/>
        <w:rPr>
          <w:rFonts w:hint="eastAsia"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3. 区</w:t>
      </w:r>
      <w:r>
        <w:rPr>
          <w:rFonts w:hint="eastAsia" w:ascii="Times New Roman" w:hAnsi="Times New Roman" w:cs="Times New Roman"/>
          <w:color w:val="auto"/>
          <w:szCs w:val="32"/>
        </w:rPr>
        <w:t>自然资源</w:t>
      </w:r>
      <w:r>
        <w:rPr>
          <w:rFonts w:hint="eastAsia" w:ascii="Times New Roman" w:hAnsi="Times New Roman" w:cs="Times New Roman"/>
          <w:color w:val="auto"/>
          <w:szCs w:val="32"/>
          <w:lang w:val="en-US" w:eastAsia="zh-CN"/>
        </w:rPr>
        <w:t>：</w:t>
      </w:r>
      <w:r>
        <w:rPr>
          <w:rFonts w:hint="eastAsia" w:ascii="Times New Roman" w:hAnsi="Times New Roman" w:cs="Times New Roman"/>
          <w:color w:val="auto"/>
          <w:szCs w:val="32"/>
          <w:lang w:eastAsia="zh-CN"/>
        </w:rPr>
        <w:t>依法认定乱占耕地建设分布式光伏发电项目的违法行为，并抄报相关责任单位</w:t>
      </w:r>
    </w:p>
    <w:p w14:paraId="446CFF67">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4</w:t>
      </w:r>
      <w:r>
        <w:rPr>
          <w:rFonts w:ascii="Times New Roman" w:hAnsi="Times New Roman" w:cs="Times New Roman"/>
          <w:color w:val="auto"/>
          <w:szCs w:val="32"/>
        </w:rPr>
        <w:t>. 区综合行政执法局：</w:t>
      </w:r>
      <w:r>
        <w:rPr>
          <w:rFonts w:hint="eastAsia" w:ascii="Times New Roman" w:hAnsi="Times New Roman" w:cs="Times New Roman"/>
          <w:color w:val="auto"/>
          <w:szCs w:val="32"/>
          <w:lang w:val="en-US" w:eastAsia="zh-CN"/>
        </w:rPr>
        <w:t>负责</w:t>
      </w:r>
      <w:r>
        <w:rPr>
          <w:rFonts w:hint="eastAsia" w:ascii="Times New Roman" w:hAnsi="Times New Roman" w:cs="Times New Roman"/>
          <w:color w:val="auto"/>
          <w:szCs w:val="32"/>
        </w:rPr>
        <w:t>对城区规划区、新兴工业园片区（不含穿山片区）范围内</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由区自然资源和规划局认定为</w:t>
      </w:r>
      <w:r>
        <w:rPr>
          <w:rFonts w:hint="eastAsia" w:ascii="Times New Roman" w:hAnsi="Times New Roman" w:cs="Times New Roman"/>
          <w:color w:val="auto"/>
          <w:szCs w:val="32"/>
        </w:rPr>
        <w:t>以分布式光伏发电项目为由违规搭建行为进行处罚</w:t>
      </w:r>
      <w:r>
        <w:rPr>
          <w:rFonts w:hint="eastAsia" w:ascii="Times New Roman" w:hAnsi="Times New Roman" w:cs="Times New Roman"/>
          <w:color w:val="auto"/>
          <w:szCs w:val="32"/>
          <w:lang w:eastAsia="zh-CN"/>
        </w:rPr>
        <w:t>，</w:t>
      </w:r>
      <w:r>
        <w:rPr>
          <w:rFonts w:ascii="Times New Roman" w:hAnsi="Times New Roman" w:cs="Times New Roman"/>
          <w:color w:val="auto"/>
          <w:szCs w:val="32"/>
        </w:rPr>
        <w:t>指导各镇对未经备案搭建或未按要求违规搭建的光伏发电项目予以拆除；</w:t>
      </w:r>
      <w:r>
        <w:rPr>
          <w:rFonts w:hint="eastAsia" w:ascii="Times New Roman" w:hAnsi="Times New Roman" w:cs="Times New Roman"/>
          <w:color w:val="auto"/>
          <w:szCs w:val="32"/>
        </w:rPr>
        <w:t>依法打击</w:t>
      </w:r>
      <w:r>
        <w:rPr>
          <w:rFonts w:hint="eastAsia" w:ascii="Times New Roman" w:hAnsi="Times New Roman" w:cs="Times New Roman"/>
          <w:color w:val="auto"/>
          <w:szCs w:val="32"/>
          <w:lang w:val="en-US" w:eastAsia="zh-CN"/>
        </w:rPr>
        <w:t>由区</w:t>
      </w:r>
      <w:r>
        <w:rPr>
          <w:rFonts w:hint="eastAsia" w:ascii="Times New Roman" w:hAnsi="Times New Roman" w:cs="Times New Roman"/>
          <w:color w:val="auto"/>
          <w:szCs w:val="32"/>
        </w:rPr>
        <w:t>住建局抄报的无施工资质的个人、队伍</w:t>
      </w:r>
      <w:r>
        <w:rPr>
          <w:rFonts w:ascii="Times New Roman" w:hAnsi="Times New Roman" w:cs="Times New Roman"/>
          <w:color w:val="auto"/>
          <w:szCs w:val="32"/>
        </w:rPr>
        <w:t>承接</w:t>
      </w:r>
      <w:r>
        <w:rPr>
          <w:rFonts w:hint="eastAsia" w:ascii="Times New Roman" w:hAnsi="Times New Roman" w:cs="Times New Roman"/>
          <w:color w:val="auto"/>
          <w:szCs w:val="32"/>
          <w:lang w:eastAsia="zh-CN"/>
        </w:rPr>
        <w:t>的</w:t>
      </w:r>
      <w:r>
        <w:rPr>
          <w:rFonts w:ascii="Times New Roman" w:hAnsi="Times New Roman" w:cs="Times New Roman"/>
          <w:color w:val="auto"/>
          <w:szCs w:val="32"/>
        </w:rPr>
        <w:t>分布式光伏发电项目安装业务。</w:t>
      </w:r>
    </w:p>
    <w:p w14:paraId="0B6FC2B5">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 区应急管理局：负责指导协调分布式光伏发电项目安装过程中发生突发情况的应急救援工作；依法查处涉及应急管理的重大安全事故隐患，依法对分布式光伏发电项目安装过程中发生的安全生产事故开展调查，并严格追究相关责任。</w:t>
      </w:r>
    </w:p>
    <w:p w14:paraId="754C3C66">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6</w:t>
      </w:r>
      <w:r>
        <w:rPr>
          <w:rFonts w:ascii="Times New Roman" w:hAnsi="Times New Roman" w:cs="Times New Roman"/>
          <w:color w:val="auto"/>
          <w:szCs w:val="32"/>
        </w:rPr>
        <w:t>. 区市场监管局：负责指导</w:t>
      </w:r>
      <w:r>
        <w:rPr>
          <w:rFonts w:hint="eastAsia" w:ascii="Times New Roman" w:hAnsi="Times New Roman" w:cs="Times New Roman"/>
          <w:color w:val="auto"/>
          <w:szCs w:val="32"/>
        </w:rPr>
        <w:t>投资主体</w:t>
      </w:r>
      <w:r>
        <w:rPr>
          <w:rFonts w:ascii="Times New Roman" w:hAnsi="Times New Roman" w:cs="Times New Roman"/>
          <w:color w:val="auto"/>
          <w:szCs w:val="32"/>
        </w:rPr>
        <w:t>注册公司、办理营业执照，对</w:t>
      </w:r>
      <w:r>
        <w:rPr>
          <w:rFonts w:hint="eastAsia" w:ascii="Times New Roman" w:hAnsi="Times New Roman" w:cs="Times New Roman"/>
          <w:color w:val="auto"/>
          <w:szCs w:val="32"/>
        </w:rPr>
        <w:t>投资主体、</w:t>
      </w:r>
      <w:r>
        <w:rPr>
          <w:rFonts w:ascii="Times New Roman" w:hAnsi="Times New Roman" w:cs="Times New Roman"/>
          <w:color w:val="auto"/>
          <w:szCs w:val="32"/>
        </w:rPr>
        <w:t>光伏</w:t>
      </w:r>
      <w:r>
        <w:rPr>
          <w:rFonts w:hint="eastAsia" w:ascii="Times New Roman" w:hAnsi="Times New Roman" w:cs="Times New Roman"/>
          <w:color w:val="auto"/>
          <w:szCs w:val="32"/>
        </w:rPr>
        <w:t>安装施工企业</w:t>
      </w:r>
      <w:r>
        <w:rPr>
          <w:rFonts w:ascii="Times New Roman" w:hAnsi="Times New Roman" w:cs="Times New Roman"/>
          <w:color w:val="auto"/>
          <w:szCs w:val="32"/>
        </w:rPr>
        <w:t>虚假宣传、无证经营、使用假冒伪劣产品等违法行为进行监管和查处，并实施信用惩戒。</w:t>
      </w:r>
    </w:p>
    <w:p w14:paraId="5DB389E1">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 区消防救援大队：对项目消防进行业务指导，依法查处消防违法行为。</w:t>
      </w:r>
    </w:p>
    <w:p w14:paraId="1FB2E414">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 xml:space="preserve">. </w:t>
      </w:r>
      <w:r>
        <w:rPr>
          <w:rFonts w:ascii="Times New Roman" w:hAnsi="Times New Roman" w:cs="Times New Roman"/>
          <w:color w:val="auto"/>
          <w:szCs w:val="32"/>
        </w:rPr>
        <w:t>市公安局柳江分局：负责依法查处分布式光伏发电项目建设中的合同欺诈、非法融资等违法行为。</w:t>
      </w:r>
    </w:p>
    <w:p w14:paraId="1FEBAB53">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9</w:t>
      </w:r>
      <w:r>
        <w:rPr>
          <w:rFonts w:ascii="Times New Roman" w:hAnsi="Times New Roman" w:cs="Times New Roman"/>
          <w:color w:val="auto"/>
          <w:szCs w:val="32"/>
        </w:rPr>
        <w:t>. 柳江供电局：负责严格按照</w:t>
      </w:r>
      <w:r>
        <w:rPr>
          <w:rFonts w:hint="eastAsia" w:ascii="Times New Roman" w:hAnsi="Times New Roman" w:cs="Times New Roman"/>
          <w:color w:val="auto"/>
          <w:szCs w:val="32"/>
          <w:lang w:val="en-US" w:eastAsia="zh-CN"/>
        </w:rPr>
        <w:t>电力</w:t>
      </w:r>
      <w:r>
        <w:rPr>
          <w:rFonts w:ascii="Times New Roman" w:hAnsi="Times New Roman" w:cs="Times New Roman"/>
          <w:color w:val="auto"/>
          <w:szCs w:val="32"/>
        </w:rPr>
        <w:t>有关法律法规做好分布式光伏发电项目的并网接入工作。</w:t>
      </w:r>
    </w:p>
    <w:p w14:paraId="5159B98F">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10</w:t>
      </w:r>
      <w:r>
        <w:rPr>
          <w:rFonts w:hint="eastAsia" w:ascii="Times New Roman" w:hAnsi="Times New Roman" w:cs="Times New Roman"/>
          <w:color w:val="auto"/>
          <w:szCs w:val="32"/>
        </w:rPr>
        <w:t>.有关行业主管部门：负责依法划定</w:t>
      </w:r>
      <w:r>
        <w:rPr>
          <w:rFonts w:ascii="Times New Roman" w:hAnsi="Times New Roman" w:cs="Times New Roman"/>
          <w:color w:val="auto"/>
          <w:szCs w:val="32"/>
        </w:rPr>
        <w:t>传统村落</w:t>
      </w:r>
      <w:r>
        <w:rPr>
          <w:rFonts w:hint="eastAsia" w:ascii="Times New Roman" w:hAnsi="Times New Roman" w:cs="Times New Roman"/>
          <w:color w:val="auto"/>
          <w:szCs w:val="32"/>
        </w:rPr>
        <w:t>，</w:t>
      </w:r>
      <w:r>
        <w:rPr>
          <w:rFonts w:ascii="Times New Roman" w:hAnsi="Times New Roman" w:cs="Times New Roman"/>
          <w:color w:val="auto"/>
          <w:szCs w:val="32"/>
        </w:rPr>
        <w:t>旅游风景区</w:t>
      </w:r>
      <w:r>
        <w:rPr>
          <w:rFonts w:hint="eastAsia" w:ascii="Times New Roman" w:hAnsi="Times New Roman" w:cs="Times New Roman"/>
          <w:color w:val="auto"/>
          <w:szCs w:val="32"/>
        </w:rPr>
        <w:t>，</w:t>
      </w:r>
      <w:r>
        <w:rPr>
          <w:rFonts w:ascii="Times New Roman" w:hAnsi="Times New Roman" w:cs="Times New Roman"/>
          <w:color w:val="auto"/>
          <w:szCs w:val="32"/>
        </w:rPr>
        <w:t>文物保护区</w:t>
      </w:r>
      <w:r>
        <w:rPr>
          <w:rFonts w:hint="eastAsia" w:ascii="Times New Roman" w:hAnsi="Times New Roman" w:cs="Times New Roman"/>
          <w:color w:val="auto"/>
          <w:szCs w:val="32"/>
        </w:rPr>
        <w:t>，</w:t>
      </w:r>
      <w:r>
        <w:rPr>
          <w:rFonts w:ascii="Times New Roman" w:hAnsi="Times New Roman" w:cs="Times New Roman"/>
          <w:color w:val="auto"/>
          <w:szCs w:val="32"/>
        </w:rPr>
        <w:t>国省道和城市干道、铁路、高速</w:t>
      </w:r>
      <w:r>
        <w:rPr>
          <w:rFonts w:hint="eastAsia" w:ascii="Times New Roman" w:hAnsi="Times New Roman" w:cs="Times New Roman"/>
          <w:color w:val="auto"/>
          <w:szCs w:val="32"/>
        </w:rPr>
        <w:t>公路、飞机场等控制建设</w:t>
      </w:r>
      <w:r>
        <w:rPr>
          <w:rFonts w:ascii="Times New Roman" w:hAnsi="Times New Roman" w:cs="Times New Roman"/>
          <w:color w:val="auto"/>
          <w:szCs w:val="32"/>
        </w:rPr>
        <w:t>分布式光伏发电项目</w:t>
      </w:r>
      <w:r>
        <w:rPr>
          <w:rFonts w:hint="eastAsia" w:ascii="Times New Roman" w:hAnsi="Times New Roman" w:cs="Times New Roman"/>
          <w:color w:val="auto"/>
          <w:szCs w:val="32"/>
        </w:rPr>
        <w:t>范围。</w:t>
      </w:r>
    </w:p>
    <w:p w14:paraId="03F09C34">
      <w:pPr>
        <w:ind w:firstLine="640"/>
        <w:rPr>
          <w:rFonts w:ascii="Times New Roman" w:hAnsi="Times New Roman" w:eastAsia="楷体_GB2312" w:cs="Times New Roman"/>
          <w:color w:val="auto"/>
          <w:szCs w:val="32"/>
        </w:rPr>
      </w:pPr>
      <w:r>
        <w:rPr>
          <w:rFonts w:ascii="Times New Roman" w:hAnsi="Times New Roman" w:eastAsia="楷体_GB2312" w:cs="Times New Roman"/>
          <w:color w:val="auto"/>
          <w:szCs w:val="32"/>
        </w:rPr>
        <w:t>（二）属地责任</w:t>
      </w:r>
    </w:p>
    <w:p w14:paraId="19BD0396">
      <w:pPr>
        <w:ind w:firstLine="640"/>
        <w:rPr>
          <w:rFonts w:ascii="Times New Roman" w:hAnsi="Times New Roman" w:cs="Times New Roman"/>
          <w:color w:val="auto"/>
          <w:szCs w:val="32"/>
        </w:rPr>
      </w:pPr>
      <w:r>
        <w:rPr>
          <w:rFonts w:ascii="Times New Roman" w:hAnsi="Times New Roman" w:cs="Times New Roman"/>
          <w:color w:val="auto"/>
          <w:szCs w:val="32"/>
        </w:rPr>
        <w:t>各镇人民政府</w:t>
      </w:r>
      <w:r>
        <w:rPr>
          <w:rFonts w:hint="eastAsia" w:ascii="Times New Roman" w:hAnsi="Times New Roman" w:cs="Times New Roman"/>
          <w:color w:val="auto"/>
          <w:szCs w:val="32"/>
        </w:rPr>
        <w:t>：配合有关部门</w:t>
      </w:r>
      <w:r>
        <w:rPr>
          <w:rFonts w:ascii="Times New Roman" w:hAnsi="Times New Roman" w:cs="Times New Roman"/>
          <w:color w:val="auto"/>
          <w:szCs w:val="32"/>
        </w:rPr>
        <w:t>对分布式光伏发电项目的安全监管。</w:t>
      </w:r>
    </w:p>
    <w:p w14:paraId="21DB92F8">
      <w:pPr>
        <w:ind w:firstLine="640"/>
        <w:rPr>
          <w:rFonts w:ascii="Times New Roman" w:hAnsi="Times New Roman" w:eastAsia="楷体_GB2312" w:cs="Times New Roman"/>
          <w:color w:val="auto"/>
          <w:szCs w:val="32"/>
        </w:rPr>
      </w:pPr>
      <w:r>
        <w:rPr>
          <w:rFonts w:ascii="Times New Roman" w:hAnsi="Times New Roman" w:eastAsia="楷体_GB2312" w:cs="Times New Roman"/>
          <w:color w:val="auto"/>
          <w:szCs w:val="32"/>
        </w:rPr>
        <w:t>（三）企业责任</w:t>
      </w:r>
    </w:p>
    <w:p w14:paraId="5F6147CC">
      <w:pPr>
        <w:pStyle w:val="7"/>
        <w:widowControl/>
        <w:ind w:firstLine="640"/>
        <w:rPr>
          <w:rFonts w:hint="default" w:ascii="Times New Roman" w:hAnsi="Times New Roman" w:eastAsia="仿宋_GB2312"/>
          <w:color w:val="auto"/>
          <w:sz w:val="32"/>
          <w:szCs w:val="32"/>
        </w:rPr>
      </w:pPr>
      <w:r>
        <w:rPr>
          <w:rFonts w:ascii="Times New Roman" w:hAnsi="Times New Roman" w:eastAsia="仿宋_GB2312"/>
          <w:color w:val="auto"/>
          <w:sz w:val="32"/>
          <w:szCs w:val="32"/>
        </w:rPr>
        <w:t>投资主体</w:t>
      </w:r>
      <w:r>
        <w:rPr>
          <w:rFonts w:hint="default" w:ascii="Times New Roman" w:hAnsi="Times New Roman" w:eastAsia="仿宋_GB2312"/>
          <w:color w:val="auto"/>
          <w:sz w:val="32"/>
          <w:szCs w:val="32"/>
        </w:rPr>
        <w:t xml:space="preserve">要充分考虑电力消纳预警相关风险，自主决策是否开展工程建设，自愿承担电网调度、电力消纳利用率下降、市场化售电等因素带来的项目收益风险，做好风险预期管控。切实履行企业安全生产主体责任，加强企业安全生产日常管理和员工教育培训，做好安全防护，严格按操作规程进行安装，杜绝安全事故发生。 </w:t>
      </w:r>
    </w:p>
    <w:p w14:paraId="68181A2B">
      <w:pPr>
        <w:pStyle w:val="7"/>
        <w:widowControl/>
        <w:ind w:firstLine="640"/>
        <w:rPr>
          <w:rFonts w:hint="default" w:ascii="Times New Roman" w:hAnsi="Times New Roman" w:eastAsia="黑体"/>
          <w:color w:val="auto"/>
          <w:sz w:val="32"/>
          <w:szCs w:val="32"/>
        </w:rPr>
      </w:pPr>
      <w:r>
        <w:rPr>
          <w:rFonts w:ascii="Times New Roman" w:hAnsi="Times New Roman" w:eastAsia="黑体"/>
          <w:color w:val="auto"/>
          <w:sz w:val="32"/>
          <w:szCs w:val="32"/>
        </w:rPr>
        <w:t>五</w:t>
      </w:r>
      <w:r>
        <w:rPr>
          <w:rFonts w:hint="default" w:ascii="Times New Roman" w:hAnsi="Times New Roman" w:eastAsia="黑体"/>
          <w:color w:val="auto"/>
          <w:sz w:val="32"/>
          <w:szCs w:val="32"/>
        </w:rPr>
        <w:t>、</w:t>
      </w:r>
      <w:r>
        <w:rPr>
          <w:rFonts w:ascii="Times New Roman" w:hAnsi="Times New Roman" w:eastAsia="黑体"/>
          <w:color w:val="auto"/>
          <w:sz w:val="32"/>
          <w:szCs w:val="32"/>
        </w:rPr>
        <w:t>其他</w:t>
      </w:r>
    </w:p>
    <w:p w14:paraId="04CA4234">
      <w:pPr>
        <w:widowControl/>
        <w:ind w:firstLine="640"/>
        <w:jc w:val="left"/>
        <w:rPr>
          <w:rFonts w:ascii="Times New Roman" w:hAnsi="Times New Roman" w:cs="Times New Roman"/>
          <w:color w:val="auto"/>
          <w:szCs w:val="32"/>
        </w:rPr>
      </w:pPr>
      <w:r>
        <w:rPr>
          <w:rFonts w:ascii="Times New Roman" w:hAnsi="Times New Roman" w:cs="Times New Roman"/>
          <w:color w:val="auto"/>
          <w:szCs w:val="32"/>
        </w:rPr>
        <w:t>（一）加强宣传引导。各镇、各有关部门要加大宣传力度，</w:t>
      </w:r>
      <w:r>
        <w:rPr>
          <w:rFonts w:ascii="Times New Roman" w:hAnsi="Times New Roman" w:cs="Times New Roman"/>
          <w:color w:val="auto"/>
          <w:kern w:val="0"/>
          <w:szCs w:val="32"/>
        </w:rPr>
        <w:t>按照要求规范分布式光伏发电项目建设，优化项目审批；投资主体租</w:t>
      </w:r>
      <w:r>
        <w:rPr>
          <w:rFonts w:ascii="Times New Roman" w:hAnsi="Times New Roman" w:cs="Times New Roman"/>
          <w:color w:val="auto"/>
          <w:szCs w:val="32"/>
        </w:rPr>
        <w:t>用屋顶建设分布式光伏发电项目应遵循户主自愿的原则，引导诚信、有实力的投资主体参与。</w:t>
      </w:r>
    </w:p>
    <w:p w14:paraId="6EE0B25D">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（二）加强过程监管。各镇、各有关部门对项目建设等过程中遇到的困难和问题，及时协调妥善解决，加强建设</w:t>
      </w:r>
      <w:r>
        <w:rPr>
          <w:rFonts w:ascii="Times New Roman" w:hAnsi="Times New Roman" w:eastAsia="仿宋_GB2312"/>
          <w:color w:val="auto"/>
          <w:sz w:val="32"/>
          <w:szCs w:val="32"/>
        </w:rPr>
        <w:t>、安装</w:t>
      </w:r>
      <w:r>
        <w:rPr>
          <w:rFonts w:hint="default" w:ascii="Times New Roman" w:hAnsi="Times New Roman" w:eastAsia="仿宋_GB2312"/>
          <w:color w:val="auto"/>
          <w:sz w:val="32"/>
          <w:szCs w:val="32"/>
        </w:rPr>
        <w:t>过程监管，确保项目规范</w:t>
      </w:r>
      <w:r>
        <w:rPr>
          <w:rFonts w:ascii="Times New Roman" w:hAnsi="Times New Roman" w:eastAsia="仿宋_GB2312"/>
          <w:color w:val="auto"/>
          <w:sz w:val="32"/>
          <w:szCs w:val="32"/>
        </w:rPr>
        <w:t>安全</w:t>
      </w:r>
      <w:r>
        <w:rPr>
          <w:rFonts w:hint="default" w:ascii="Times New Roman" w:hAnsi="Times New Roman" w:eastAsia="仿宋_GB2312"/>
          <w:color w:val="auto"/>
          <w:sz w:val="32"/>
          <w:szCs w:val="32"/>
        </w:rPr>
        <w:t>。任何企业和个人不得以安装户用光伏为由，违规转让、倒卖因光伏发电产生的绿电指标、碳汇指标</w:t>
      </w:r>
      <w:r>
        <w:rPr>
          <w:rFonts w:ascii="Times New Roman" w:hAnsi="Times New Roman" w:eastAsia="仿宋_GB2312"/>
          <w:color w:val="auto"/>
          <w:sz w:val="32"/>
          <w:szCs w:val="32"/>
        </w:rPr>
        <w:t>。</w:t>
      </w:r>
    </w:p>
    <w:p w14:paraId="07DFE887">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（三）加强企业管理。有关部门对存在违规行为的企业依法依规实施惩戒，对屡次整改不到位的企业，列入限制开发名单。</w:t>
      </w:r>
    </w:p>
    <w:p w14:paraId="08D9F724">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（四）加强公共机构管理。区本级公共产权资源资产屋顶分布式光伏发电项目已实行统筹建设，未经批准不得擅自实施。</w:t>
      </w:r>
    </w:p>
    <w:p w14:paraId="2AEBDE5F">
      <w:pPr>
        <w:pStyle w:val="7"/>
        <w:widowControl/>
        <w:ind w:firstLine="960" w:firstLineChars="3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本</w:t>
      </w:r>
      <w:r>
        <w:rPr>
          <w:rFonts w:ascii="Times New Roman" w:hAnsi="Times New Roman" w:eastAsia="仿宋_GB2312"/>
          <w:color w:val="auto"/>
          <w:sz w:val="32"/>
          <w:szCs w:val="32"/>
        </w:rPr>
        <w:t>办法</w:t>
      </w:r>
      <w:r>
        <w:rPr>
          <w:rFonts w:hint="default" w:ascii="Times New Roman" w:hAnsi="Times New Roman" w:eastAsia="仿宋_GB2312"/>
          <w:color w:val="auto"/>
          <w:sz w:val="32"/>
          <w:szCs w:val="32"/>
        </w:rPr>
        <w:t>自</w:t>
      </w:r>
      <w:r>
        <w:rPr>
          <w:rFonts w:ascii="Times New Roman" w:hAnsi="Times New Roman" w:eastAsia="仿宋_GB2312"/>
          <w:color w:val="auto"/>
          <w:sz w:val="32"/>
          <w:szCs w:val="32"/>
        </w:rPr>
        <w:t>发布之日</w:t>
      </w:r>
      <w:r>
        <w:rPr>
          <w:rFonts w:hint="default" w:ascii="Times New Roman" w:hAnsi="Times New Roman" w:eastAsia="仿宋_GB2312"/>
          <w:color w:val="auto"/>
          <w:sz w:val="32"/>
          <w:szCs w:val="32"/>
        </w:rPr>
        <w:t>起实施，有效期两年。</w:t>
      </w:r>
    </w:p>
    <w:p w14:paraId="7E6650B8">
      <w:pPr>
        <w:ind w:left="0" w:leftChars="0" w:firstLine="0" w:firstLineChars="0"/>
        <w:rPr>
          <w:rFonts w:ascii="Times New Roman" w:hAnsi="Times New Roman" w:cs="Times New Roman"/>
          <w:color w:val="auto"/>
          <w:szCs w:val="32"/>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WFIRC + 浠垮畫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441E">
    <w:pPr>
      <w:pStyle w:val="5"/>
      <w:ind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2B14CADD">
                <w:pPr>
                  <w:pStyle w:val="5"/>
                  <w:ind w:firstLine="560"/>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94CC">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98B0">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9F86">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5BF9">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716C">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80BA6"/>
    <w:multiLevelType w:val="singleLevel"/>
    <w:tmpl w:val="40A80BA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3MTYxNzVkNzMzYmMxNjk0ZmY1M2VkZGY4YjE3ZGMifQ=="/>
  </w:docVars>
  <w:rsids>
    <w:rsidRoot w:val="5E924F1B"/>
    <w:rsid w:val="0015314A"/>
    <w:rsid w:val="001D58C3"/>
    <w:rsid w:val="001E7A63"/>
    <w:rsid w:val="00CB0709"/>
    <w:rsid w:val="00D07151"/>
    <w:rsid w:val="04617802"/>
    <w:rsid w:val="04C81C08"/>
    <w:rsid w:val="05247934"/>
    <w:rsid w:val="061B422F"/>
    <w:rsid w:val="067A7CBC"/>
    <w:rsid w:val="06830042"/>
    <w:rsid w:val="098A70B7"/>
    <w:rsid w:val="0B5C28BC"/>
    <w:rsid w:val="0CC37C98"/>
    <w:rsid w:val="0D0E73B0"/>
    <w:rsid w:val="0E597729"/>
    <w:rsid w:val="0E750E49"/>
    <w:rsid w:val="12BB1692"/>
    <w:rsid w:val="12D04C54"/>
    <w:rsid w:val="13B2717B"/>
    <w:rsid w:val="146D3ABC"/>
    <w:rsid w:val="15CB44BC"/>
    <w:rsid w:val="16BB77A0"/>
    <w:rsid w:val="1868120C"/>
    <w:rsid w:val="187650CA"/>
    <w:rsid w:val="1A03533C"/>
    <w:rsid w:val="1A525B26"/>
    <w:rsid w:val="1B481CDF"/>
    <w:rsid w:val="1D7407BC"/>
    <w:rsid w:val="1FC637C8"/>
    <w:rsid w:val="208F68A8"/>
    <w:rsid w:val="215313DE"/>
    <w:rsid w:val="220C424F"/>
    <w:rsid w:val="225C14A7"/>
    <w:rsid w:val="2385541D"/>
    <w:rsid w:val="244F12F9"/>
    <w:rsid w:val="25062ECA"/>
    <w:rsid w:val="259D4B37"/>
    <w:rsid w:val="268E083A"/>
    <w:rsid w:val="269C3CC1"/>
    <w:rsid w:val="26AC2D7C"/>
    <w:rsid w:val="27615D27"/>
    <w:rsid w:val="278F0C96"/>
    <w:rsid w:val="28816AE6"/>
    <w:rsid w:val="29155D5D"/>
    <w:rsid w:val="29E37D05"/>
    <w:rsid w:val="2A0A6818"/>
    <w:rsid w:val="2A69332B"/>
    <w:rsid w:val="2BBF6DF0"/>
    <w:rsid w:val="2CCA4542"/>
    <w:rsid w:val="2CD11F44"/>
    <w:rsid w:val="2D016E0A"/>
    <w:rsid w:val="2DD83299"/>
    <w:rsid w:val="2F5A1B31"/>
    <w:rsid w:val="2FC73E21"/>
    <w:rsid w:val="312F5F45"/>
    <w:rsid w:val="330A2C08"/>
    <w:rsid w:val="333A65D0"/>
    <w:rsid w:val="338B4458"/>
    <w:rsid w:val="33B757FC"/>
    <w:rsid w:val="35EF5745"/>
    <w:rsid w:val="36BE1B9B"/>
    <w:rsid w:val="391D64AE"/>
    <w:rsid w:val="393D7402"/>
    <w:rsid w:val="3AB41BF3"/>
    <w:rsid w:val="3AF9494C"/>
    <w:rsid w:val="3B424470"/>
    <w:rsid w:val="3B832DFC"/>
    <w:rsid w:val="3BC55A7B"/>
    <w:rsid w:val="3C6B0F4C"/>
    <w:rsid w:val="3E221412"/>
    <w:rsid w:val="3EB0036D"/>
    <w:rsid w:val="3EF26282"/>
    <w:rsid w:val="3F04532A"/>
    <w:rsid w:val="407D26AB"/>
    <w:rsid w:val="41332736"/>
    <w:rsid w:val="41475A90"/>
    <w:rsid w:val="416C231C"/>
    <w:rsid w:val="41DF2A09"/>
    <w:rsid w:val="43911BC6"/>
    <w:rsid w:val="43DB082C"/>
    <w:rsid w:val="44F01148"/>
    <w:rsid w:val="45B4185E"/>
    <w:rsid w:val="4696394D"/>
    <w:rsid w:val="46FA7AE6"/>
    <w:rsid w:val="47C815C9"/>
    <w:rsid w:val="484511D1"/>
    <w:rsid w:val="49A326D1"/>
    <w:rsid w:val="4C97760D"/>
    <w:rsid w:val="4CEE03D5"/>
    <w:rsid w:val="4D5C5542"/>
    <w:rsid w:val="4D9C2733"/>
    <w:rsid w:val="4DA4699A"/>
    <w:rsid w:val="4DF6368D"/>
    <w:rsid w:val="4E0D1A48"/>
    <w:rsid w:val="4EFF7DA2"/>
    <w:rsid w:val="50D4618E"/>
    <w:rsid w:val="51A87B33"/>
    <w:rsid w:val="529C40E3"/>
    <w:rsid w:val="52BA6885"/>
    <w:rsid w:val="52ED13AD"/>
    <w:rsid w:val="53524BEB"/>
    <w:rsid w:val="53A83A81"/>
    <w:rsid w:val="552C34B1"/>
    <w:rsid w:val="554F448D"/>
    <w:rsid w:val="57E105C1"/>
    <w:rsid w:val="581F4559"/>
    <w:rsid w:val="59545657"/>
    <w:rsid w:val="5A2B78E4"/>
    <w:rsid w:val="5AAC4604"/>
    <w:rsid w:val="5C813D0D"/>
    <w:rsid w:val="5CE648D9"/>
    <w:rsid w:val="5D426FCE"/>
    <w:rsid w:val="5E924F1B"/>
    <w:rsid w:val="5F3B2EDA"/>
    <w:rsid w:val="5FBA57F3"/>
    <w:rsid w:val="5FE11CD0"/>
    <w:rsid w:val="62B334AF"/>
    <w:rsid w:val="633914DA"/>
    <w:rsid w:val="64122457"/>
    <w:rsid w:val="644D291F"/>
    <w:rsid w:val="646A4041"/>
    <w:rsid w:val="649015CE"/>
    <w:rsid w:val="64C434B5"/>
    <w:rsid w:val="64FD1258"/>
    <w:rsid w:val="65CD6AC0"/>
    <w:rsid w:val="65E1340D"/>
    <w:rsid w:val="66640749"/>
    <w:rsid w:val="677A046D"/>
    <w:rsid w:val="67D143D7"/>
    <w:rsid w:val="68E60BB8"/>
    <w:rsid w:val="690118A7"/>
    <w:rsid w:val="6AAF59C5"/>
    <w:rsid w:val="6C016220"/>
    <w:rsid w:val="6D06067F"/>
    <w:rsid w:val="704476BC"/>
    <w:rsid w:val="709A5209"/>
    <w:rsid w:val="711225D5"/>
    <w:rsid w:val="71C91816"/>
    <w:rsid w:val="73444819"/>
    <w:rsid w:val="734C26FC"/>
    <w:rsid w:val="734C37CC"/>
    <w:rsid w:val="74C3378D"/>
    <w:rsid w:val="75AA6994"/>
    <w:rsid w:val="75B14E1E"/>
    <w:rsid w:val="75B3511C"/>
    <w:rsid w:val="76420721"/>
    <w:rsid w:val="768B37DF"/>
    <w:rsid w:val="76AC1F98"/>
    <w:rsid w:val="76B0612D"/>
    <w:rsid w:val="78371332"/>
    <w:rsid w:val="798968C0"/>
    <w:rsid w:val="79F962B7"/>
    <w:rsid w:val="7A620BD0"/>
    <w:rsid w:val="7C517A41"/>
    <w:rsid w:val="7CAE39BD"/>
    <w:rsid w:val="7CFC7838"/>
    <w:rsid w:val="7DA42960"/>
    <w:rsid w:val="7F1539C4"/>
    <w:rsid w:val="7F9C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2"/>
    <w:qFormat/>
    <w:uiPriority w:val="0"/>
    <w:pPr>
      <w:spacing w:after="0" w:line="360" w:lineRule="auto"/>
      <w:ind w:firstLine="720"/>
      <w:jc w:val="left"/>
    </w:pPr>
    <w:rPr>
      <w:rFonts w:ascii="宋体" w:hAnsi="宋体" w:cs="宋体"/>
      <w:b/>
      <w:bCs/>
      <w:sz w:val="28"/>
      <w:szCs w:val="28"/>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basedOn w:val="15"/>
    <w:qFormat/>
    <w:uiPriority w:val="0"/>
    <w:pPr>
      <w:autoSpaceDE w:val="0"/>
      <w:autoSpaceDN w:val="0"/>
      <w:adjustRightInd w:val="0"/>
    </w:pPr>
    <w:rPr>
      <w:rFonts w:ascii="Calibri" w:hAnsi="Calibri" w:eastAsia="仿宋_GB2312"/>
      <w:color w:val="000000"/>
      <w:kern w:val="0"/>
      <w:sz w:val="24"/>
      <w:szCs w:val="32"/>
    </w:rPr>
  </w:style>
  <w:style w:type="paragraph" w:customStyle="1" w:styleId="15">
    <w:name w:val="纯文本1"/>
    <w:basedOn w:val="1"/>
    <w:qFormat/>
    <w:uiPriority w:val="0"/>
    <w:pPr>
      <w:ind w:firstLine="964"/>
    </w:pPr>
    <w:rPr>
      <w:rFonts w:ascii="宋体" w:hAnsi="宋体" w:eastAsia="仿宋" w:cs="Times New Roman"/>
      <w:sz w:val="21"/>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3969</Words>
  <Characters>4023</Characters>
  <Lines>31</Lines>
  <Paragraphs>8</Paragraphs>
  <TotalTime>286</TotalTime>
  <ScaleCrop>false</ScaleCrop>
  <LinksUpToDate>false</LinksUpToDate>
  <CharactersWithSpaces>4059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2024-12-05T08:12:00Z</dcterms:created>
  <dc:creator>二不失眠</dc:creator>
  <cp:lastModifiedBy>走远了.</cp:lastModifiedBy>
  <cp:lastPrinted>2025-01-08T02:42:00Z</cp:lastPrinted>
  <dcterms:modified xsi:type="dcterms:W3CDTF">2025-01-09T08:22:29Z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1E575B5D50FC45848F8FB98A324B35ED_13</vt:lpwstr>
  </property>
  <property fmtid="{D5CDD505-2E9C-101B-9397-08002B2CF9AE}" pid="4" name="KSOTemplateDocerSaveRecord">
    <vt:lpwstr>eyJoZGlkIjoiOWQ0ZDgyM2I0NGIxNjdiN2FiODNkZDNjNzEyOWM5ZDkiLCJ1c2VySWQiOiIyNTk4Nzg2ODYifQ==</vt:lpwstr>
  </property>
</Properties>
</file>